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Arial" w:hAnsi="Arial" w:eastAsia="宋体" w:cs="Arial"/>
        </w:rPr>
      </w:pPr>
      <w:bookmarkStart w:id="0" w:name="_Hlk114691757"/>
      <w:bookmarkEnd w:id="0"/>
      <w:bookmarkStart w:id="1" w:name="OLE_LINK24"/>
      <w:bookmarkStart w:id="2" w:name="OLE_LINK12"/>
      <w:bookmarkStart w:id="3" w:name="OLE_LINK33"/>
      <w:bookmarkStart w:id="4" w:name="OLE_LINK13"/>
      <w:bookmarkStart w:id="5" w:name="OLE_LINK34"/>
      <w:r>
        <w:rPr>
          <w:rFonts w:ascii="Arial" w:hAnsi="Arial" w:eastAsia="宋体" w:cs="Arial"/>
          <w:b/>
        </w:rPr>
        <w:t>3GPP TSG RAN WG1 #113                                         R1-2304933</w:t>
      </w:r>
    </w:p>
    <w:p>
      <w:pPr>
        <w:snapToGrid w:val="0"/>
        <w:spacing w:after="0" w:line="240" w:lineRule="auto"/>
        <w:rPr>
          <w:rFonts w:ascii="Arial" w:hAnsi="Arial" w:eastAsia="MS Mincho" w:cs="Arial"/>
          <w:b/>
          <w:bCs/>
          <w:sz w:val="28"/>
          <w:szCs w:val="28"/>
        </w:rPr>
      </w:pPr>
      <w:bookmarkStart w:id="6" w:name="_Hlk118396218"/>
      <w:r>
        <w:rPr>
          <w:rFonts w:ascii="Arial" w:hAnsi="Arial" w:eastAsia="宋体" w:cs="Arial"/>
          <w:b/>
          <w:lang w:eastAsia="ja-JP"/>
        </w:rPr>
        <w:t>Incheon, Korea, May 22</w:t>
      </w:r>
      <w:r>
        <w:rPr>
          <w:rFonts w:ascii="Arial" w:hAnsi="Arial" w:eastAsia="宋体" w:cs="Arial"/>
          <w:b/>
          <w:vertAlign w:val="superscript"/>
          <w:lang w:eastAsia="ja-JP"/>
        </w:rPr>
        <w:t>nd</w:t>
      </w:r>
      <w:r>
        <w:rPr>
          <w:rFonts w:ascii="Arial" w:hAnsi="Arial" w:eastAsia="宋体" w:cs="Arial"/>
          <w:b/>
          <w:lang w:eastAsia="ja-JP"/>
        </w:rPr>
        <w:t xml:space="preserve"> – May 26</w:t>
      </w:r>
      <w:r>
        <w:rPr>
          <w:rFonts w:ascii="Arial" w:hAnsi="Arial" w:eastAsia="宋体" w:cs="Arial"/>
          <w:b/>
          <w:vertAlign w:val="superscript"/>
          <w:lang w:eastAsia="ja-JP"/>
        </w:rPr>
        <w:t>th</w:t>
      </w:r>
      <w:r>
        <w:rPr>
          <w:rFonts w:ascii="Arial" w:hAnsi="Arial" w:eastAsia="宋体" w:cs="Arial"/>
          <w:b/>
          <w:lang w:eastAsia="ja-JP"/>
        </w:rPr>
        <w:t>, 2023</w:t>
      </w:r>
    </w:p>
    <w:bookmarkEnd w:id="6"/>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p>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2168" w:right="2" w:hanging="2168" w:hangingChars="900"/>
        <w:jc w:val="both"/>
        <w:rPr>
          <w:rFonts w:ascii="Arial" w:hAnsi="Arial" w:eastAsia="宋体" w:cs="Arial"/>
          <w:b/>
        </w:rPr>
      </w:pPr>
      <w:r>
        <w:rPr>
          <w:rFonts w:ascii="Arial" w:hAnsi="Arial" w:eastAsia="宋体" w:cs="Arial"/>
          <w:b/>
        </w:rPr>
        <w:t>Title:            Discussion on Positioning for RedCap UEs</w:t>
      </w:r>
    </w:p>
    <w:bookmarkEnd w:id="1"/>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Agenda item:    9.5.5</w:t>
      </w:r>
    </w:p>
    <w:bookmarkEnd w:id="2"/>
    <w:bookmarkEnd w:id="3"/>
    <w:bookmarkEnd w:id="4"/>
    <w:bookmarkEnd w:id="5"/>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 xml:space="preserve"> Discussion and Decision</w:t>
      </w:r>
    </w:p>
    <w:p>
      <w:pPr>
        <w:pStyle w:val="2"/>
        <w:snapToGrid w:val="0"/>
        <w:spacing w:before="120" w:after="180" w:afterLines="50"/>
        <w:ind w:left="431" w:hanging="431"/>
        <w:jc w:val="both"/>
        <w:rPr>
          <w:sz w:val="28"/>
          <w:lang w:val="en-US"/>
        </w:rPr>
      </w:pPr>
      <w:bookmarkStart w:id="7" w:name="OLE_LINK1"/>
      <w:r>
        <w:rPr>
          <w:sz w:val="28"/>
          <w:lang w:val="en-US"/>
        </w:rPr>
        <w:t>Introduction</w:t>
      </w:r>
    </w:p>
    <w:p>
      <w:pPr>
        <w:widowControl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w:t>
      </w:r>
      <w:r>
        <w:rPr>
          <w:rFonts w:ascii="Times New Roman" w:hAnsi="Times New Roman" w:eastAsia="宋体"/>
          <w:kern w:val="2"/>
          <w:sz w:val="20"/>
          <w:szCs w:val="20"/>
        </w:rPr>
        <w:t>3GPP RAN1#112bis-e</w:t>
      </w:r>
      <w:r>
        <w:rPr>
          <w:rFonts w:hint="eastAsia" w:ascii="Times New Roman" w:hAnsi="Times New Roman" w:eastAsia="宋体"/>
          <w:kern w:val="2"/>
          <w:sz w:val="20"/>
          <w:szCs w:val="20"/>
        </w:rPr>
        <w:t xml:space="preserve"> meeting, </w:t>
      </w:r>
      <w:r>
        <w:rPr>
          <w:rFonts w:ascii="Times New Roman" w:hAnsi="Times New Roman" w:eastAsia="宋体"/>
          <w:kern w:val="2"/>
          <w:sz w:val="20"/>
          <w:szCs w:val="20"/>
        </w:rPr>
        <w:t>some agreements</w:t>
      </w:r>
      <w:r>
        <w:rPr>
          <w:rFonts w:hint="eastAsia" w:ascii="Times New Roman" w:hAnsi="Times New Roman" w:eastAsia="宋体"/>
          <w:kern w:val="2"/>
          <w:sz w:val="20"/>
          <w:szCs w:val="20"/>
        </w:rPr>
        <w:t xml:space="preserve"> w</w:t>
      </w:r>
      <w:r>
        <w:rPr>
          <w:rFonts w:ascii="Times New Roman" w:hAnsi="Times New Roman" w:eastAsia="宋体"/>
          <w:kern w:val="2"/>
          <w:sz w:val="20"/>
          <w:szCs w:val="20"/>
        </w:rPr>
        <w:t>ere</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reach</w:t>
      </w:r>
      <w:r>
        <w:rPr>
          <w:rFonts w:hint="eastAsia" w:ascii="Times New Roman" w:hAnsi="Times New Roman" w:eastAsia="宋体"/>
          <w:kern w:val="2"/>
          <w:sz w:val="20"/>
          <w:szCs w:val="20"/>
        </w:rPr>
        <w:t>ed</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_Ref130907638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[1]</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napToGrid w:val="0"/>
              <w:spacing w:after="0" w:line="240" w:lineRule="auto"/>
              <w:rPr>
                <w:rFonts w:cs="Times New Roman"/>
                <w:b/>
                <w:sz w:val="20"/>
                <w:u w:val="single"/>
                <w:lang w:val="en-GB" w:eastAsia="ja-JP"/>
              </w:rPr>
            </w:pPr>
            <w:r>
              <w:rPr>
                <w:rFonts w:cs="Times New Roman"/>
                <w:b/>
                <w:sz w:val="20"/>
                <w:u w:val="single"/>
                <w:lang w:val="en-GB" w:eastAsia="ja-JP"/>
              </w:rPr>
              <w:t>Agreement</w:t>
            </w:r>
          </w:p>
          <w:p>
            <w:pPr>
              <w:snapToGrid w:val="0"/>
              <w:spacing w:after="0" w:line="240" w:lineRule="auto"/>
              <w:rPr>
                <w:rFonts w:cs="Times New Roman"/>
                <w:bCs/>
                <w:sz w:val="20"/>
                <w:lang w:val="en-GB" w:eastAsia="en-US"/>
              </w:rPr>
            </w:pPr>
            <w:r>
              <w:rPr>
                <w:rFonts w:cs="Times New Roman"/>
                <w:bCs/>
                <w:sz w:val="20"/>
                <w:lang w:val="en-GB" w:eastAsia="ja-JP"/>
              </w:rPr>
              <w:t xml:space="preserve">For RedCap UEs, SRS for positioning Tx frequency hopping is configured </w:t>
            </w:r>
            <w:r>
              <w:rPr>
                <w:rFonts w:cs="Times New Roman"/>
                <w:bCs/>
                <w:sz w:val="20"/>
                <w:lang w:val="en-GB" w:eastAsia="en-US"/>
              </w:rPr>
              <w:t>within one SRS for positioning resource.</w:t>
            </w:r>
          </w:p>
          <w:p>
            <w:pPr>
              <w:snapToGrid w:val="0"/>
              <w:spacing w:after="0" w:line="240" w:lineRule="auto"/>
              <w:rPr>
                <w:rFonts w:eastAsia="MS Mincho" w:cs="Times New Roman"/>
                <w:bCs/>
                <w:sz w:val="20"/>
                <w:lang w:val="en-GB" w:eastAsia="ja-JP"/>
              </w:rPr>
            </w:pPr>
          </w:p>
          <w:p>
            <w:pPr>
              <w:snapToGrid w:val="0"/>
              <w:spacing w:after="0" w:line="240" w:lineRule="auto"/>
              <w:rPr>
                <w:rFonts w:cs="Times New Roman"/>
                <w:b/>
                <w:sz w:val="20"/>
                <w:u w:val="single"/>
                <w:lang w:val="en-GB" w:eastAsia="ja-JP"/>
              </w:rPr>
            </w:pPr>
            <w:r>
              <w:rPr>
                <w:rFonts w:cs="Times New Roman"/>
                <w:b/>
                <w:sz w:val="20"/>
                <w:u w:val="single"/>
                <w:lang w:val="en-GB" w:eastAsia="ja-JP"/>
              </w:rPr>
              <w:t>Agreement</w:t>
            </w:r>
          </w:p>
          <w:p>
            <w:pPr>
              <w:snapToGrid w:val="0"/>
              <w:spacing w:after="0" w:line="240" w:lineRule="auto"/>
              <w:rPr>
                <w:rFonts w:cs="Times New Roman"/>
                <w:bCs/>
                <w:sz w:val="20"/>
                <w:lang w:val="en-GB" w:eastAsia="ja-JP"/>
              </w:rPr>
            </w:pPr>
            <w:r>
              <w:rPr>
                <w:rFonts w:cs="Times New Roman"/>
                <w:bCs/>
                <w:sz w:val="20"/>
                <w:lang w:val="en-GB" w:eastAsia="ja-JP"/>
              </w:rPr>
              <w:t>For DL Rx hopping or UL Tx hopping, support the UE or gNB to report the following:</w:t>
            </w:r>
          </w:p>
          <w:p>
            <w:pPr>
              <w:numPr>
                <w:ilvl w:val="0"/>
                <w:numId w:val="4"/>
              </w:numPr>
              <w:overflowPunct w:val="0"/>
              <w:autoSpaceDE w:val="0"/>
              <w:autoSpaceDN w:val="0"/>
              <w:adjustRightInd w:val="0"/>
              <w:snapToGrid w:val="0"/>
              <w:spacing w:after="180" w:line="240" w:lineRule="auto"/>
              <w:contextualSpacing/>
              <w:textAlignment w:val="baseline"/>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A single measurement based on receiving multiple hops of the DL PRS or UL SRS for positioning</w:t>
            </w:r>
          </w:p>
          <w:p>
            <w:pPr>
              <w:numPr>
                <w:ilvl w:val="0"/>
                <w:numId w:val="4"/>
              </w:numPr>
              <w:overflowPunct w:val="0"/>
              <w:autoSpaceDE w:val="0"/>
              <w:autoSpaceDN w:val="0"/>
              <w:adjustRightInd w:val="0"/>
              <w:snapToGrid w:val="0"/>
              <w:spacing w:after="180" w:line="240" w:lineRule="auto"/>
              <w:contextualSpacing/>
              <w:textAlignment w:val="baseline"/>
              <w:rPr>
                <w:rFonts w:ascii="Times New Roman" w:hAnsi="Times New Roman" w:eastAsia="宋体" w:cs="Times New Roman"/>
                <w:color w:val="000000"/>
                <w:sz w:val="20"/>
                <w:szCs w:val="20"/>
                <w:lang w:val="en-GB" w:eastAsia="ja-JP"/>
              </w:rPr>
            </w:pPr>
            <w:r>
              <w:rPr>
                <w:rFonts w:ascii="Times New Roman" w:hAnsi="Times New Roman" w:eastAsia="宋体" w:cs="Times New Roman"/>
                <w:color w:val="000000"/>
                <w:sz w:val="20"/>
                <w:szCs w:val="20"/>
                <w:lang w:val="en-GB" w:eastAsia="ja-JP"/>
              </w:rPr>
              <w:t>One [or more] measurements where each measurement is associated with one received hop</w:t>
            </w:r>
          </w:p>
          <w:p>
            <w:pPr>
              <w:numPr>
                <w:ilvl w:val="0"/>
                <w:numId w:val="4"/>
              </w:numPr>
              <w:overflowPunct w:val="0"/>
              <w:autoSpaceDE w:val="0"/>
              <w:autoSpaceDN w:val="0"/>
              <w:adjustRightInd w:val="0"/>
              <w:snapToGrid w:val="0"/>
              <w:spacing w:after="180" w:line="240" w:lineRule="auto"/>
              <w:contextualSpacing/>
              <w:textAlignment w:val="baseline"/>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FFS: indication of how many received hops / which received hops where used in the measurement report.</w:t>
            </w:r>
          </w:p>
          <w:p>
            <w:pPr>
              <w:numPr>
                <w:ilvl w:val="0"/>
                <w:numId w:val="4"/>
              </w:numPr>
              <w:overflowPunct w:val="0"/>
              <w:autoSpaceDE w:val="0"/>
              <w:autoSpaceDN w:val="0"/>
              <w:adjustRightInd w:val="0"/>
              <w:snapToGrid w:val="0"/>
              <w:spacing w:after="180" w:line="240" w:lineRule="auto"/>
              <w:contextualSpacing/>
              <w:textAlignment w:val="baseline"/>
              <w:rPr>
                <w:rFonts w:ascii="Times New Roman" w:hAnsi="Times New Roman" w:eastAsia="宋体" w:cs="Times New Roman"/>
                <w:color w:val="000000"/>
                <w:sz w:val="20"/>
                <w:szCs w:val="20"/>
                <w:lang w:val="en-GB" w:eastAsia="ja-JP"/>
              </w:rPr>
            </w:pPr>
            <w:r>
              <w:rPr>
                <w:rFonts w:ascii="Times New Roman" w:hAnsi="Times New Roman" w:eastAsia="宋体" w:cs="Times New Roman"/>
                <w:sz w:val="20"/>
                <w:szCs w:val="20"/>
                <w:lang w:val="en-GB" w:eastAsia="ja-JP"/>
              </w:rPr>
              <w:t>Note: no new measurement definition is introduced in RAN1</w:t>
            </w:r>
          </w:p>
          <w:p>
            <w:pPr>
              <w:numPr>
                <w:ilvl w:val="0"/>
                <w:numId w:val="4"/>
              </w:numPr>
              <w:overflowPunct w:val="0"/>
              <w:autoSpaceDE w:val="0"/>
              <w:autoSpaceDN w:val="0"/>
              <w:adjustRightInd w:val="0"/>
              <w:snapToGrid w:val="0"/>
              <w:spacing w:after="180" w:line="240" w:lineRule="auto"/>
              <w:contextualSpacing/>
              <w:textAlignment w:val="baseline"/>
              <w:rPr>
                <w:rFonts w:ascii="Times New Roman" w:hAnsi="Times New Roman" w:eastAsia="宋体" w:cs="Times New Roman"/>
                <w:color w:val="000000"/>
                <w:sz w:val="20"/>
                <w:szCs w:val="20"/>
                <w:lang w:val="en-GB" w:eastAsia="ja-JP"/>
              </w:rPr>
            </w:pPr>
            <w:r>
              <w:rPr>
                <w:rFonts w:ascii="Times New Roman" w:hAnsi="Times New Roman" w:eastAsia="宋体" w:cs="Times New Roman"/>
                <w:sz w:val="20"/>
                <w:szCs w:val="20"/>
                <w:lang w:val="en-GB" w:eastAsia="ja-JP"/>
              </w:rPr>
              <w:t>FFS: conditions when the above measurements are reported, and whether the above measurements can be reported together</w:t>
            </w:r>
          </w:p>
          <w:p>
            <w:pPr>
              <w:snapToGrid w:val="0"/>
              <w:spacing w:after="0" w:line="240" w:lineRule="auto"/>
              <w:rPr>
                <w:rFonts w:eastAsia="MS Mincho" w:cs="Times New Roman"/>
                <w:bCs/>
                <w:sz w:val="20"/>
                <w:lang w:val="en-GB" w:eastAsia="ja-JP"/>
              </w:rPr>
            </w:pPr>
          </w:p>
          <w:p>
            <w:pPr>
              <w:snapToGrid w:val="0"/>
              <w:spacing w:after="0" w:line="240" w:lineRule="auto"/>
              <w:rPr>
                <w:rFonts w:ascii="Times New Roman" w:hAnsi="Times New Roman" w:cs="Times New Roman"/>
                <w:b/>
                <w:color w:val="000000"/>
                <w:sz w:val="20"/>
                <w:u w:val="single"/>
                <w:lang w:val="en-GB" w:eastAsia="en-US"/>
              </w:rPr>
            </w:pPr>
            <w:r>
              <w:rPr>
                <w:rFonts w:ascii="Times New Roman" w:hAnsi="Times New Roman" w:cs="Times New Roman"/>
                <w:b/>
                <w:color w:val="000000"/>
                <w:sz w:val="20"/>
                <w:u w:val="single"/>
                <w:lang w:val="en-GB" w:eastAsia="en-US"/>
              </w:rPr>
              <w:t>Agreement</w:t>
            </w:r>
          </w:p>
          <w:p>
            <w:pPr>
              <w:snapToGrid w:val="0"/>
              <w:spacing w:after="0" w:line="240" w:lineRule="auto"/>
              <w:rPr>
                <w:rFonts w:ascii="Times New Roman" w:hAnsi="Times New Roman" w:eastAsia="MS Mincho" w:cs="Times New Roman"/>
                <w:sz w:val="20"/>
                <w:lang w:val="en-GB" w:eastAsia="ja-JP"/>
              </w:rPr>
            </w:pPr>
            <w:r>
              <w:rPr>
                <w:rFonts w:ascii="Times New Roman" w:hAnsi="Times New Roman" w:eastAsia="MS Mincho" w:cs="Times New Roman"/>
                <w:sz w:val="20"/>
                <w:lang w:val="en-GB" w:eastAsia="ja-JP"/>
              </w:rPr>
              <w:t>For UL SRS Tx hopping, the frequency hopping pattern is configured with overlapping or non-overlapping hops.</w:t>
            </w:r>
          </w:p>
          <w:p>
            <w:pPr>
              <w:numPr>
                <w:ilvl w:val="0"/>
                <w:numId w:val="5"/>
              </w:numPr>
              <w:snapToGrid w:val="0"/>
              <w:spacing w:after="0" w:line="240" w:lineRule="auto"/>
              <w:rPr>
                <w:rFonts w:ascii="Times New Roman" w:hAnsi="Times New Roman" w:cs="Times New Roman"/>
                <w:sz w:val="20"/>
                <w:lang w:val="en-GB" w:eastAsia="ja-JP"/>
              </w:rPr>
            </w:pPr>
            <w:r>
              <w:rPr>
                <w:rFonts w:ascii="Times New Roman" w:hAnsi="Times New Roman" w:cs="Times New Roman"/>
                <w:sz w:val="20"/>
                <w:lang w:val="en-GB" w:eastAsia="ja-JP"/>
              </w:rPr>
              <w:t xml:space="preserve">FFS: exact patterns to be supported </w:t>
            </w:r>
          </w:p>
          <w:p>
            <w:pPr>
              <w:numPr>
                <w:ilvl w:val="0"/>
                <w:numId w:val="5"/>
              </w:numPr>
              <w:snapToGrid w:val="0"/>
              <w:spacing w:after="0" w:line="240" w:lineRule="auto"/>
              <w:rPr>
                <w:rFonts w:ascii="Times New Roman" w:hAnsi="Times New Roman" w:cs="Times New Roman"/>
                <w:sz w:val="20"/>
                <w:lang w:val="en-GB" w:eastAsia="ja-JP"/>
              </w:rPr>
            </w:pPr>
            <w:r>
              <w:rPr>
                <w:rFonts w:ascii="Times New Roman" w:hAnsi="Times New Roman" w:cs="Times New Roman"/>
                <w:sz w:val="20"/>
                <w:lang w:val="en-GB" w:eastAsia="ja-JP"/>
              </w:rPr>
              <w:t>FFS: whether the overlapping hops may or may not be adjacent in the time domain</w:t>
            </w:r>
          </w:p>
          <w:p>
            <w:pPr>
              <w:numPr>
                <w:ilvl w:val="0"/>
                <w:numId w:val="5"/>
              </w:numPr>
              <w:snapToGrid w:val="0"/>
              <w:spacing w:after="0" w:line="240" w:lineRule="auto"/>
            </w:pPr>
            <w:r>
              <w:rPr>
                <w:rFonts w:ascii="Times New Roman" w:hAnsi="Times New Roman" w:cs="Times New Roman"/>
                <w:sz w:val="20"/>
                <w:lang w:val="en-GB"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bl>
    <w:p>
      <w:pPr>
        <w:adjustRightInd w:val="0"/>
        <w:snapToGrid w:val="0"/>
        <w:spacing w:before="180" w:beforeLines="50" w:after="180" w:afterLines="50"/>
        <w:jc w:val="both"/>
        <w:rPr>
          <w:rFonts w:ascii="Times New Roman" w:hAnsi="Times New Roman"/>
          <w:iCs/>
          <w:sz w:val="20"/>
          <w:szCs w:val="20"/>
        </w:rPr>
      </w:pPr>
      <w:r>
        <w:rPr>
          <w:rFonts w:ascii="Times New Roman" w:hAnsi="Times New Roman"/>
          <w:iCs/>
          <w:sz w:val="20"/>
          <w:szCs w:val="20"/>
        </w:rPr>
        <w:t>In</w:t>
      </w:r>
      <w:r>
        <w:rPr>
          <w:rFonts w:hint="eastAsia" w:ascii="Times New Roman" w:hAnsi="Times New Roman"/>
          <w:iCs/>
          <w:sz w:val="20"/>
          <w:szCs w:val="20"/>
        </w:rPr>
        <w:t xml:space="preserve"> this contribution, we</w:t>
      </w:r>
      <w:r>
        <w:rPr>
          <w:rFonts w:ascii="Times New Roman" w:hAnsi="Times New Roman"/>
          <w:iCs/>
          <w:sz w:val="20"/>
          <w:szCs w:val="20"/>
        </w:rPr>
        <w:t xml:space="preserve"> provide</w:t>
      </w:r>
      <w:r>
        <w:rPr>
          <w:rFonts w:hint="eastAsia" w:ascii="Times New Roman" w:hAnsi="Times New Roman"/>
          <w:iCs/>
          <w:sz w:val="20"/>
          <w:szCs w:val="20"/>
        </w:rPr>
        <w:t xml:space="preserve"> our </w:t>
      </w:r>
      <w:r>
        <w:rPr>
          <w:rFonts w:ascii="Times New Roman" w:hAnsi="Times New Roman"/>
          <w:iCs/>
          <w:sz w:val="20"/>
          <w:szCs w:val="20"/>
        </w:rPr>
        <w:t>views for</w:t>
      </w:r>
      <w:r>
        <w:rPr>
          <w:rFonts w:hint="eastAsia" w:ascii="Times New Roman" w:hAnsi="Times New Roman"/>
          <w:iCs/>
          <w:sz w:val="20"/>
          <w:szCs w:val="20"/>
        </w:rPr>
        <w:t xml:space="preserve"> </w:t>
      </w:r>
      <w:r>
        <w:rPr>
          <w:rFonts w:ascii="Times New Roman" w:hAnsi="Times New Roman"/>
          <w:iCs/>
          <w:sz w:val="20"/>
          <w:szCs w:val="20"/>
        </w:rPr>
        <w:t>positioning for RedCap UEs considering PRS/SRS configuration, frequency overlapping between two hops, measurement / report, etc</w:t>
      </w:r>
      <w:r>
        <w:rPr>
          <w:rFonts w:hint="eastAsia" w:ascii="Times New Roman" w:hAnsi="Times New Roman"/>
          <w:iCs/>
          <w:sz w:val="20"/>
          <w:szCs w:val="20"/>
        </w:rPr>
        <w:t>.</w:t>
      </w:r>
    </w:p>
    <w:p>
      <w:pPr>
        <w:pStyle w:val="2"/>
        <w:snapToGrid w:val="0"/>
        <w:spacing w:before="120" w:after="180" w:afterLines="50"/>
        <w:ind w:left="431" w:hanging="431"/>
        <w:jc w:val="both"/>
        <w:rPr>
          <w:sz w:val="28"/>
          <w:lang w:val="en-US"/>
        </w:rPr>
      </w:pPr>
      <w:r>
        <w:rPr>
          <w:sz w:val="28"/>
          <w:lang w:val="en-US"/>
        </w:rPr>
        <w:t>DL-PRS Rx hopping</w:t>
      </w:r>
    </w:p>
    <w:p>
      <w:pPr>
        <w:pStyle w:val="3"/>
        <w:snapToGrid w:val="0"/>
        <w:spacing w:line="240" w:lineRule="auto"/>
        <w:rPr>
          <w:rFonts w:ascii="Arial" w:hAnsi="Arial" w:cs="Arial"/>
          <w:b/>
          <w:sz w:val="24"/>
          <w:szCs w:val="24"/>
        </w:rPr>
      </w:pPr>
      <w:r>
        <w:rPr>
          <w:rFonts w:ascii="Arial" w:hAnsi="Arial" w:cs="Arial"/>
          <w:b/>
          <w:sz w:val="24"/>
          <w:szCs w:val="24"/>
        </w:rPr>
        <w:t>2.1 On UE processing capabilities</w:t>
      </w:r>
    </w:p>
    <w:p>
      <w:pPr>
        <w:adjustRightInd w:val="0"/>
        <w:snapToGrid w:val="0"/>
        <w:spacing w:before="180" w:beforeLines="50"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For UE processing capabilities, the number of hops and total bandwidth after hopping reception (or, equivalently, a capability of data buffering) should be considered.</w:t>
      </w:r>
    </w:p>
    <w:p>
      <w:pPr>
        <w:adjustRightInd w:val="0"/>
        <w:snapToGrid w:val="0"/>
        <w:spacing w:before="180" w:beforeLines="50"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In RAN1#112bis-e meeting, the following conclusion was made.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eastAsia="MS Mincho" w:cs="Times New Roman"/>
                <w:b/>
                <w:bCs/>
                <w:sz w:val="20"/>
                <w:szCs w:val="20"/>
              </w:rPr>
            </w:pPr>
            <w:r>
              <w:rPr>
                <w:rFonts w:ascii="Times New Roman" w:hAnsi="Times New Roman" w:cs="Times New Roman" w:eastAsiaTheme="minorEastAsia"/>
                <w:b/>
                <w:color w:val="000000"/>
                <w:sz w:val="20"/>
                <w:u w:val="single"/>
                <w:lang w:val="en-GB"/>
              </w:rPr>
              <w:t xml:space="preserve">(RAN1#112bis-e) </w:t>
            </w:r>
            <w:r>
              <w:rPr>
                <w:rFonts w:ascii="Times New Roman" w:hAnsi="Times New Roman" w:eastAsia="MS Mincho" w:cs="Times New Roman"/>
                <w:b/>
                <w:bCs/>
                <w:sz w:val="20"/>
                <w:szCs w:val="20"/>
              </w:rPr>
              <w:t>Conclusion</w:t>
            </w:r>
          </w:p>
          <w:p>
            <w:pPr>
              <w:snapToGrid w:val="0"/>
              <w:spacing w:after="0" w:line="240" w:lineRule="auto"/>
              <w:rPr>
                <w:rFonts w:ascii="Times New Roman" w:hAnsi="Times New Roman" w:eastAsia="MS Mincho" w:cs="Times New Roman"/>
                <w:bCs/>
                <w:sz w:val="20"/>
                <w:szCs w:val="20"/>
              </w:rPr>
            </w:pPr>
            <w:r>
              <w:rPr>
                <w:rFonts w:ascii="Times New Roman" w:hAnsi="Times New Roman" w:eastAsia="MS Mincho" w:cs="Times New Roman"/>
                <w:bCs/>
                <w:sz w:val="20"/>
                <w:szCs w:val="20"/>
              </w:rPr>
              <w:t>For the positioning of redcap UEs, for the DL PRS reception and UL SRS transmission, the maximum hopping bandwidth for a single hop is 20MHz for FR1 and 100MHz with FR2.</w:t>
            </w:r>
          </w:p>
        </w:tc>
      </w:tr>
    </w:tbl>
    <w:p>
      <w:pPr>
        <w:widowControl w:val="0"/>
        <w:snapToGrid w:val="0"/>
        <w:spacing w:before="180" w:beforeLines="50" w:after="180" w:afterLines="50" w:line="240" w:lineRule="auto"/>
        <w:jc w:val="both"/>
        <w:rPr>
          <w:rFonts w:ascii="Times New Roman" w:hAnsi="Times New Roman" w:eastAsiaTheme="minorEastAsia"/>
          <w:sz w:val="20"/>
          <w:szCs w:val="20"/>
        </w:rPr>
      </w:pPr>
      <w:r>
        <w:rPr>
          <w:rFonts w:ascii="Times New Roman" w:hAnsi="Times New Roman" w:eastAsiaTheme="minorEastAsia"/>
          <w:sz w:val="20"/>
          <w:szCs w:val="20"/>
        </w:rPr>
        <w:t>For UE supporting frequency hopping, UE needs to report the maximum number of supported frequency hops. For each hop, the supported maximum PRS bandwidth can refer to the existing UE capability. For instance, if UE reports that the supported maximum PRS bandwidth is 20MHz in FR1, and UE reports the supported maximum number of frequency hops is 4 or 5, then network may configure at least 4 frequency hops to achieve measurement results which is equivalent to the result based on about 80MHz PRS bandwidth.</w:t>
      </w:r>
    </w:p>
    <w:p>
      <w:pPr>
        <w:widowControl w:val="0"/>
        <w:snapToGrid w:val="0"/>
        <w:spacing w:before="180" w:beforeLines="50" w:after="180" w:afterLines="50"/>
        <w:jc w:val="both"/>
        <w:rPr>
          <w:rFonts w:ascii="Times New Roman" w:hAnsi="Times New Roman" w:eastAsiaTheme="minorEastAsia"/>
          <w:sz w:val="20"/>
          <w:szCs w:val="20"/>
        </w:rPr>
      </w:pPr>
      <w:r>
        <w:rPr>
          <w:rFonts w:hint="eastAsia" w:ascii="Times New Roman" w:hAnsi="Times New Roman" w:eastAsiaTheme="minorEastAsia"/>
          <w:sz w:val="20"/>
          <w:szCs w:val="20"/>
        </w:rPr>
        <w:t>In addition, for phase rotation estimation between adjacent hops, UE may need to report whether it supports overlapping between adjacent hops. Alternatively, UE can report its capability on the maximum equivalent bandwidth after combing all hops.</w:t>
      </w:r>
    </w:p>
    <w:p>
      <w:pPr>
        <w:widowControl w:val="0"/>
        <w:snapToGrid w:val="0"/>
        <w:spacing w:after="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ascii="Times New Roman" w:hAnsi="Times New Roman" w:eastAsia="宋体"/>
          <w:bCs/>
          <w:i/>
          <w:iCs/>
          <w:kern w:val="2"/>
          <w:sz w:val="20"/>
          <w:szCs w:val="20"/>
        </w:rPr>
        <w:t>With regards to Rx frequency hopping for positioning for RedCap UE:</w:t>
      </w:r>
    </w:p>
    <w:p>
      <w:pPr>
        <w:pStyle w:val="89"/>
        <w:widowControl w:val="0"/>
        <w:numPr>
          <w:ilvl w:val="0"/>
          <w:numId w:val="6"/>
        </w:numPr>
        <w:snapToGrid w:val="0"/>
        <w:spacing w:after="0" w:line="240" w:lineRule="auto"/>
        <w:jc w:val="both"/>
        <w:rPr>
          <w:rFonts w:eastAsiaTheme="minorEastAsia"/>
          <w:i/>
          <w:sz w:val="20"/>
        </w:rPr>
      </w:pPr>
      <w:r>
        <w:rPr>
          <w:rFonts w:eastAsiaTheme="minorEastAsia"/>
          <w:i/>
          <w:sz w:val="20"/>
        </w:rPr>
        <w:t xml:space="preserve">UE reports </w:t>
      </w:r>
      <w:r>
        <w:rPr>
          <w:rFonts w:eastAsiaTheme="minorEastAsia"/>
          <w:i/>
          <w:sz w:val="20"/>
          <w:lang w:eastAsia="zh-CN"/>
        </w:rPr>
        <w:t xml:space="preserve">a </w:t>
      </w:r>
      <w:r>
        <w:rPr>
          <w:rFonts w:hint="eastAsia" w:eastAsiaTheme="minorEastAsia"/>
          <w:i/>
          <w:sz w:val="20"/>
          <w:lang w:eastAsia="zh-CN"/>
        </w:rPr>
        <w:t>capabilit</w:t>
      </w:r>
      <w:r>
        <w:rPr>
          <w:rFonts w:eastAsiaTheme="minorEastAsia"/>
          <w:i/>
          <w:sz w:val="20"/>
          <w:lang w:eastAsia="zh-CN"/>
        </w:rPr>
        <w:t>y on</w:t>
      </w:r>
      <w:r>
        <w:rPr>
          <w:rFonts w:eastAsiaTheme="minorEastAsia"/>
          <w:i/>
          <w:sz w:val="20"/>
        </w:rPr>
        <w:t xml:space="preserve"> the maximum number of supporting frequency hops to network, the candidates at least include {2, 3, 4, 5}</w:t>
      </w:r>
    </w:p>
    <w:p>
      <w:pPr>
        <w:pStyle w:val="89"/>
        <w:widowControl w:val="0"/>
        <w:numPr>
          <w:ilvl w:val="0"/>
          <w:numId w:val="6"/>
        </w:numPr>
        <w:snapToGrid w:val="0"/>
        <w:spacing w:after="0" w:line="240" w:lineRule="auto"/>
        <w:jc w:val="both"/>
        <w:rPr>
          <w:rFonts w:eastAsiaTheme="minorEastAsia"/>
          <w:i/>
          <w:sz w:val="20"/>
        </w:rPr>
      </w:pPr>
      <w:r>
        <w:rPr>
          <w:rFonts w:hint="eastAsia" w:eastAsiaTheme="minorEastAsia"/>
          <w:i/>
          <w:sz w:val="20"/>
          <w:lang w:eastAsia="zh-CN"/>
        </w:rPr>
        <w:t xml:space="preserve">UE reports a capability on the overlapping PRB(s) between adjacent hops or a capability on the </w:t>
      </w:r>
      <w:r>
        <w:rPr>
          <w:rFonts w:eastAsiaTheme="minorEastAsia"/>
          <w:i/>
          <w:sz w:val="20"/>
          <w:lang w:eastAsia="zh-CN"/>
        </w:rPr>
        <w:t>maximum equivalent bandwidth after combing all hops</w:t>
      </w:r>
    </w:p>
    <w:p>
      <w:pPr>
        <w:pStyle w:val="3"/>
        <w:snapToGrid w:val="0"/>
        <w:spacing w:line="240" w:lineRule="auto"/>
        <w:rPr>
          <w:rFonts w:ascii="Arial" w:hAnsi="Arial" w:cs="Arial"/>
          <w:b/>
          <w:sz w:val="24"/>
        </w:rPr>
      </w:pPr>
      <w:r>
        <w:rPr>
          <w:rFonts w:ascii="Arial" w:hAnsi="Arial" w:cs="Arial"/>
          <w:b/>
          <w:sz w:val="24"/>
          <w:szCs w:val="24"/>
        </w:rPr>
        <w:t>2.2 Measurement and report with hopping</w:t>
      </w:r>
    </w:p>
    <w:p>
      <w:pPr>
        <w:pStyle w:val="49"/>
        <w:snapToGrid w:val="0"/>
        <w:spacing w:before="180" w:beforeLines="50" w:after="180" w:afterLines="50" w:line="240" w:lineRule="auto"/>
        <w:ind w:firstLine="0" w:firstLineChars="0"/>
        <w:rPr>
          <w:rFonts w:eastAsiaTheme="minorEastAsia"/>
        </w:rPr>
      </w:pPr>
      <w:r>
        <w:rPr>
          <w:rFonts w:eastAsiaTheme="minorEastAsia"/>
        </w:rPr>
        <w:t>In RAN1#112bis-e meeting, the following proposal was agreed for DL Rx hopping.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cs="Times New Roman"/>
                <w:b/>
                <w:bCs/>
                <w:sz w:val="20"/>
                <w:szCs w:val="20"/>
              </w:rPr>
            </w:pPr>
            <w:r>
              <w:rPr>
                <w:rFonts w:ascii="Times New Roman" w:hAnsi="Times New Roman" w:cs="Times New Roman" w:eastAsiaTheme="minorEastAsia"/>
                <w:b/>
                <w:sz w:val="20"/>
                <w:u w:val="single"/>
                <w:lang w:val="en-GB"/>
              </w:rPr>
              <w:t xml:space="preserve">(RAN1#112bis-e) </w:t>
            </w:r>
            <w:r>
              <w:rPr>
                <w:rFonts w:ascii="Times New Roman" w:hAnsi="Times New Roman" w:cs="Times New Roman"/>
                <w:b/>
                <w:bCs/>
                <w:sz w:val="20"/>
                <w:szCs w:val="20"/>
              </w:rPr>
              <w:t>Agreement</w:t>
            </w:r>
          </w:p>
          <w:p>
            <w:p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For DL Rx hopping or UL Tx hopping, support the UE or gNB to report the following:</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A single measurement based on receiving multiple hops of the DL PRS or UL SRS for positioning</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One [or more] measurements where each measurement is associated with one received hop</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FFS: indication of how many received hops / which received hops where used in the measurement report.</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Note: no new measurement definition is introduced in RAN1</w:t>
            </w:r>
          </w:p>
          <w:p>
            <w:pPr>
              <w:numPr>
                <w:ilvl w:val="0"/>
                <w:numId w:val="7"/>
              </w:numPr>
              <w:snapToGrid w:val="0"/>
              <w:spacing w:after="0" w:line="240" w:lineRule="auto"/>
              <w:jc w:val="both"/>
              <w:rPr>
                <w:rFonts w:cs="Times New Roman"/>
                <w:bCs/>
                <w:sz w:val="20"/>
                <w:szCs w:val="20"/>
              </w:rPr>
            </w:pPr>
            <w:r>
              <w:rPr>
                <w:rFonts w:ascii="Times New Roman" w:hAnsi="Times New Roman" w:cs="Times New Roman"/>
                <w:bCs/>
                <w:sz w:val="20"/>
                <w:szCs w:val="20"/>
              </w:rPr>
              <w:t>FFS: conditions when the above measurements are reported, and whether the above measurements can be reported together</w:t>
            </w:r>
          </w:p>
        </w:tc>
      </w:tr>
    </w:tbl>
    <w:p>
      <w:pPr>
        <w:pStyle w:val="49"/>
        <w:snapToGrid w:val="0"/>
        <w:spacing w:before="180" w:beforeLines="50" w:after="180" w:afterLines="50" w:line="240" w:lineRule="auto"/>
        <w:ind w:firstLine="0" w:firstLineChars="0"/>
        <w:rPr>
          <w:rFonts w:eastAsiaTheme="minorEastAsia"/>
        </w:rPr>
      </w:pPr>
      <w:r>
        <w:rPr>
          <w:rFonts w:eastAsiaTheme="minorEastAsia"/>
        </w:rPr>
        <w:t>In some cases, even though DL-PRS Rx frequency hopping is configured to UE for the sake of equivalent large bandwidth PRS measurement, the UE does not have to combine the measurement from multiple frequency hops. For example, in the scenarios when PRS configuration is broadcast for all UEs in a serving cell but the UE’s location accuracy requirement is not high. In such case, UE can just do the single hop measurement, and report hop information along with the positioning measurement results, e.g., which frequency range corresponding hop(s) is/are used for the measurement.</w:t>
      </w:r>
    </w:p>
    <w:p>
      <w:pPr>
        <w:pStyle w:val="49"/>
        <w:snapToGrid w:val="0"/>
        <w:spacing w:before="180" w:beforeLines="50" w:after="180" w:afterLines="50" w:line="240" w:lineRule="auto"/>
        <w:ind w:firstLine="0" w:firstLineChars="0"/>
        <w:rPr>
          <w:rFonts w:eastAsiaTheme="minorEastAsia"/>
        </w:rPr>
      </w:pPr>
      <w:r>
        <w:rPr>
          <w:rFonts w:eastAsiaTheme="minorEastAsia"/>
        </w:rPr>
        <w:t>Specifically, for the case when UE does not perform wideband measurement</w:t>
      </w:r>
      <w:r>
        <w:rPr>
          <w:rFonts w:hint="eastAsia" w:eastAsiaTheme="minorEastAsia"/>
        </w:rPr>
        <w:t xml:space="preserve"> on</w:t>
      </w:r>
      <w:r>
        <w:rPr>
          <w:rFonts w:eastAsiaTheme="minorEastAsia"/>
        </w:rPr>
        <w:t xml:space="preserve"> combined multiple hops, we think single hop measurement report selected from multiple hops is sufficient. It is up to UE implementation to select one of the best single hop measurement result for reporting to LMF.</w:t>
      </w:r>
    </w:p>
    <w:p>
      <w:pPr>
        <w:pStyle w:val="49"/>
        <w:snapToGrid w:val="0"/>
        <w:spacing w:before="180" w:beforeLines="50" w:after="180" w:afterLines="50" w:line="240" w:lineRule="auto"/>
        <w:ind w:firstLine="0" w:firstLineChars="0"/>
        <w:rPr>
          <w:rFonts w:eastAsiaTheme="minorEastAsia"/>
        </w:rPr>
      </w:pPr>
      <w:r>
        <w:rPr>
          <w:rFonts w:eastAsiaTheme="minorEastAsia"/>
        </w:rPr>
        <w:t xml:space="preserve">For the case when UE reports a </w:t>
      </w:r>
      <w:r>
        <w:rPr>
          <w:rFonts w:cs="Times New Roman"/>
          <w:bCs/>
          <w:sz w:val="20"/>
          <w:szCs w:val="20"/>
        </w:rPr>
        <w:t>measurement which based on received multiple hops of the DL PRS, UE has to inform LMF how many received hops / which received hop(s) is/are used in the measurement report. Then, LMF can know if the PRS assistance data and PRS request is suitable, if not, the update may be needed.</w:t>
      </w:r>
    </w:p>
    <w:p>
      <w:pPr>
        <w:snapToGrid w:val="0"/>
        <w:spacing w:after="0" w:line="240" w:lineRule="auto"/>
        <w:jc w:val="both"/>
        <w:rPr>
          <w:rFonts w:ascii="Times New Roman" w:hAnsi="Times New Roman" w:cs="Times New Roman"/>
          <w:bCs/>
          <w:i/>
          <w:sz w:val="20"/>
          <w:szCs w:val="20"/>
        </w:rPr>
      </w:pPr>
      <w:r>
        <w:rPr>
          <w:rFonts w:hint="eastAsia" w:eastAsia="宋体"/>
          <w:b/>
          <w:bCs/>
          <w:i/>
          <w:iCs/>
          <w:sz w:val="20"/>
          <w:szCs w:val="20"/>
        </w:rPr>
        <w:t xml:space="preserve">Proposal 2: </w:t>
      </w:r>
      <w:r>
        <w:rPr>
          <w:rFonts w:ascii="Times New Roman" w:hAnsi="Times New Roman" w:cs="Times New Roman"/>
          <w:bCs/>
          <w:i/>
          <w:sz w:val="20"/>
          <w:szCs w:val="20"/>
        </w:rPr>
        <w:t>For DL Rx hopping, support UE to report either</w:t>
      </w:r>
    </w:p>
    <w:p>
      <w:pPr>
        <w:numPr>
          <w:ilvl w:val="0"/>
          <w:numId w:val="7"/>
        </w:numPr>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A single measurement based on receiving multiple hops of the DL PRS for positioning </w:t>
      </w:r>
    </w:p>
    <w:p>
      <w:pPr>
        <w:numPr>
          <w:ilvl w:val="1"/>
          <w:numId w:val="7"/>
        </w:numPr>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The frequency range or hop indications of the multiple hops should be reported as well</w:t>
      </w:r>
    </w:p>
    <w:p>
      <w:pPr>
        <w:numPr>
          <w:ilvl w:val="0"/>
          <w:numId w:val="7"/>
        </w:numPr>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Or one measurement which is associated with one received hop</w:t>
      </w:r>
    </w:p>
    <w:p>
      <w:pPr>
        <w:numPr>
          <w:ilvl w:val="1"/>
          <w:numId w:val="7"/>
        </w:numPr>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The frequency range or hop indication of the hop should be reported as well</w:t>
      </w:r>
    </w:p>
    <w:p>
      <w:pPr>
        <w:adjustRightInd w:val="0"/>
        <w:snapToGrid w:val="0"/>
        <w:spacing w:before="180" w:beforeLines="50" w:after="180" w:afterLines="50"/>
        <w:jc w:val="both"/>
        <w:rPr>
          <w:rFonts w:ascii="Times New Roman" w:hAnsi="Times New Roman" w:eastAsia="宋体"/>
          <w:kern w:val="2"/>
          <w:sz w:val="20"/>
          <w:szCs w:val="20"/>
        </w:rPr>
      </w:pP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In TS38.214, some parameters (such as the inter-slot repetition factor) for PRS reception are specified as the following.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pStyle w:val="79"/>
              <w:snapToGrid w:val="0"/>
              <w:spacing w:line="240" w:lineRule="auto"/>
              <w:jc w:val="both"/>
              <w:rPr>
                <w:rFonts w:ascii="Times New Roman" w:hAnsi="Times New Roman" w:cs="Times New Roman"/>
                <w:sz w:val="20"/>
                <w:szCs w:val="20"/>
              </w:rPr>
            </w:pPr>
            <w:r>
              <w:rPr>
                <w:rFonts w:ascii="Times New Roman" w:hAnsi="Times New Roman" w:cs="Times New Roman"/>
                <w:i/>
                <w:sz w:val="20"/>
                <w:szCs w:val="20"/>
              </w:rPr>
              <w:t>-</w:t>
            </w:r>
            <w:r>
              <w:rPr>
                <w:rFonts w:ascii="Times New Roman" w:hAnsi="Times New Roman" w:cs="Times New Roman"/>
                <w:i/>
                <w:sz w:val="20"/>
                <w:szCs w:val="20"/>
              </w:rPr>
              <w:tab/>
            </w:r>
            <w:r>
              <w:rPr>
                <w:rFonts w:ascii="Times New Roman" w:hAnsi="Times New Roman" w:cs="Times New Roman"/>
                <w:i/>
                <w:iCs/>
                <w:sz w:val="20"/>
                <w:szCs w:val="20"/>
              </w:rPr>
              <w:t>dl-PRS-ResourceRepetitionFactor</w:t>
            </w:r>
            <w:r>
              <w:rPr>
                <w:rFonts w:ascii="Times New Roman" w:hAnsi="Times New Roman" w:cs="Times New Roman"/>
                <w:sz w:val="20"/>
                <w:szCs w:val="20"/>
              </w:rPr>
              <w:t xml:space="preserve"> defines how many times each DL-PRS resource is repeated for a single instance of the DL-PRS resource set and takes values </w:t>
            </w:r>
            <m:oMath>
              <m:sSubSup>
                <m:sSubSupPr>
                  <m:ctrlPr>
                    <w:rPr>
                      <w:rFonts w:ascii="Cambria Math" w:hAnsi="Cambria Math" w:cs="Times New Roman"/>
                      <w:i/>
                      <w:sz w:val="20"/>
                      <w:szCs w:val="20"/>
                    </w:rPr>
                  </m:ctrlPr>
                </m:sSubSupPr>
                <m:e>
                  <m:r>
                    <m:rPr/>
                    <w:rPr>
                      <w:rFonts w:ascii="Cambria Math" w:hAnsi="Cambria Math" w:cs="Times New Roman"/>
                      <w:sz w:val="20"/>
                      <w:szCs w:val="20"/>
                    </w:rPr>
                    <m:t>T</m:t>
                  </m:r>
                  <m:ctrlPr>
                    <w:rPr>
                      <w:rFonts w:ascii="Cambria Math" w:hAnsi="Cambria Math" w:cs="Times New Roman"/>
                      <w:i/>
                      <w:sz w:val="20"/>
                      <w:szCs w:val="20"/>
                    </w:rPr>
                  </m:ctrlPr>
                </m:e>
                <m:sub>
                  <m:r>
                    <m:rPr>
                      <m:nor/>
                      <m:sty m:val="p"/>
                    </m:rPr>
                    <w:rPr>
                      <w:rFonts w:ascii="Times New Roman" w:hAnsi="Times New Roman" w:cs="Times New Roman"/>
                      <w:b w:val="0"/>
                      <w:i w:val="0"/>
                      <w:sz w:val="20"/>
                      <w:szCs w:val="20"/>
                    </w:rPr>
                    <m:t>rep</m:t>
                  </m:r>
                  <m:ctrlPr>
                    <w:rPr>
                      <w:rFonts w:ascii="Cambria Math" w:hAnsi="Cambria Math" w:cs="Times New Roman"/>
                      <w:i/>
                      <w:sz w:val="20"/>
                      <w:szCs w:val="20"/>
                    </w:rPr>
                  </m:ctrlPr>
                </m:sub>
                <m:sup>
                  <m:r>
                    <m:rPr>
                      <m:nor/>
                      <m:sty m:val="p"/>
                    </m:rPr>
                    <w:rPr>
                      <w:rFonts w:ascii="Times New Roman" w:hAnsi="Times New Roman" w:cs="Times New Roman"/>
                      <w:b w:val="0"/>
                      <w:i w:val="0"/>
                      <w:sz w:val="20"/>
                      <w:szCs w:val="20"/>
                    </w:rPr>
                    <m:t>PRS</m:t>
                  </m:r>
                  <m:ctrlPr>
                    <w:rPr>
                      <w:rFonts w:ascii="Cambria Math" w:hAnsi="Cambria Math" w:cs="Times New Roman"/>
                      <w:i/>
                      <w:sz w:val="20"/>
                      <w:szCs w:val="20"/>
                    </w:rPr>
                  </m:ctrlPr>
                </m:sup>
              </m:sSubSup>
              <m:r>
                <m:rPr/>
                <w:rPr>
                  <w:rFonts w:hint="eastAsia" w:ascii="Cambria Math" w:hAnsi="Cambria Math" w:cs="Times New Roman"/>
                  <w:sz w:val="20"/>
                  <w:szCs w:val="20"/>
                </w:rPr>
                <m:t>∈</m:t>
              </m:r>
              <m:d>
                <m:dPr>
                  <m:begChr m:val="{"/>
                  <m:endChr m:val="}"/>
                  <m:ctrlPr>
                    <w:rPr>
                      <w:rFonts w:ascii="Cambria Math" w:hAnsi="Cambria Math" w:cs="Times New Roman"/>
                      <w:i/>
                      <w:sz w:val="20"/>
                      <w:szCs w:val="20"/>
                    </w:rPr>
                  </m:ctrlPr>
                </m:dPr>
                <m:e>
                  <m:r>
                    <m:rPr/>
                    <w:rPr>
                      <w:rFonts w:ascii="Cambria Math" w:hAnsi="Cambria Math" w:cs="Times New Roman"/>
                      <w:sz w:val="20"/>
                      <w:szCs w:val="20"/>
                    </w:rPr>
                    <m:t>1,2,4,6,8,16,32</m:t>
                  </m:r>
                  <m:ctrlPr>
                    <w:rPr>
                      <w:rFonts w:ascii="Cambria Math" w:hAnsi="Cambria Math" w:cs="Times New Roman"/>
                      <w:i/>
                      <w:sz w:val="20"/>
                      <w:szCs w:val="20"/>
                    </w:rPr>
                  </m:ctrlPr>
                </m:e>
              </m:d>
            </m:oMath>
            <w:r>
              <w:rPr>
                <w:rFonts w:ascii="Times New Roman" w:hAnsi="Times New Roman" w:cs="Times New Roman"/>
                <w:sz w:val="20"/>
                <w:szCs w:val="20"/>
              </w:rPr>
              <w:t>. All the DL PRS resources within one resource set have the same resource repetition factor.</w:t>
            </w:r>
          </w:p>
        </w:tc>
      </w:tr>
    </w:tbl>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For PRS reception with hopping, we suggest one or more of the following parameters to be introduced to facilitate UE’s PRS measurement.</w:t>
      </w:r>
    </w:p>
    <w:p>
      <w:pPr>
        <w:pStyle w:val="89"/>
        <w:widowControl w:val="0"/>
        <w:numPr>
          <w:ilvl w:val="0"/>
          <w:numId w:val="6"/>
        </w:numPr>
        <w:snapToGrid w:val="0"/>
        <w:spacing w:before="180" w:beforeLines="50" w:afterLines="50"/>
        <w:jc w:val="both"/>
        <w:rPr>
          <w:rFonts w:eastAsiaTheme="minorEastAsia"/>
          <w:sz w:val="20"/>
        </w:rPr>
      </w:pPr>
      <w:r>
        <w:rPr>
          <w:rFonts w:eastAsiaTheme="minorEastAsia"/>
          <w:sz w:val="20"/>
        </w:rPr>
        <w:t xml:space="preserve">Number of </w:t>
      </w:r>
      <w:r>
        <w:rPr>
          <w:rFonts w:hint="eastAsia" w:eastAsiaTheme="minorEastAsia"/>
          <w:sz w:val="20"/>
        </w:rPr>
        <w:t>h</w:t>
      </w:r>
      <w:r>
        <w:rPr>
          <w:rFonts w:eastAsiaTheme="minorEastAsia"/>
          <w:sz w:val="20"/>
        </w:rPr>
        <w:t>ops. This parameter will affect positioning accuracy. More hops will compose a larger bandwidth which brings a higher positioning accuracy.</w:t>
      </w:r>
    </w:p>
    <w:p>
      <w:pPr>
        <w:pStyle w:val="89"/>
        <w:widowControl w:val="0"/>
        <w:numPr>
          <w:ilvl w:val="0"/>
          <w:numId w:val="6"/>
        </w:numPr>
        <w:snapToGrid w:val="0"/>
        <w:spacing w:before="180" w:beforeLines="50" w:afterLines="50"/>
        <w:jc w:val="both"/>
        <w:rPr>
          <w:rFonts w:eastAsiaTheme="minorEastAsia"/>
          <w:sz w:val="20"/>
        </w:rPr>
      </w:pPr>
      <w:r>
        <w:rPr>
          <w:rFonts w:eastAsiaTheme="minorEastAsia"/>
          <w:sz w:val="20"/>
        </w:rPr>
        <w:t>Number of overlapped RB. This parameter is used for phase adjustment between adjacent hops. It will affect positioning accuracy. For example, in a worse channel condition case, more overlapped PRBs can be configured by LMF to let UE estimate phase rotation more accurately.</w:t>
      </w:r>
    </w:p>
    <w:p>
      <w:pPr>
        <w:pStyle w:val="89"/>
        <w:widowControl w:val="0"/>
        <w:numPr>
          <w:ilvl w:val="0"/>
          <w:numId w:val="6"/>
        </w:numPr>
        <w:snapToGrid w:val="0"/>
        <w:spacing w:before="180" w:beforeLines="50" w:afterLines="50"/>
        <w:jc w:val="both"/>
        <w:rPr>
          <w:rFonts w:eastAsiaTheme="minorEastAsia"/>
          <w:sz w:val="20"/>
        </w:rPr>
      </w:pPr>
      <w:r>
        <w:rPr>
          <w:rFonts w:eastAsiaTheme="minorEastAsia"/>
          <w:sz w:val="20"/>
        </w:rPr>
        <w:t xml:space="preserve">Total bandwidth of all hops. Actually, this is equivalent to the number of hops (e.g., each hop has the same bandwidth). One of these two parameters can be finally selected. Since LMF is aware of the positioning service requirement which is very related to the totally equivalent PRS bandwidth, this parameter can assist UE do more proper PRS hopping measurement. For example, if the positioning accuracy requirement is not high, LMF can just inform UE a small total bandwidth, e.g. only two hops and each hop is with 20MHz even though 100MHz PRS is configured by SIB. Then, UE only do Rx hopping measurement within a 40MHz truncation. </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Hence, we have the following proposal.</w:t>
      </w:r>
    </w:p>
    <w:p>
      <w:pPr>
        <w:adjustRightInd w:val="0"/>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3: </w:t>
      </w:r>
      <w:r>
        <w:rPr>
          <w:rFonts w:ascii="Times New Roman" w:hAnsi="Times New Roman" w:eastAsia="宋体"/>
          <w:bCs/>
          <w:i/>
          <w:iCs/>
          <w:kern w:val="2"/>
          <w:sz w:val="20"/>
          <w:szCs w:val="20"/>
        </w:rPr>
        <w:t xml:space="preserve">For PRS reception with hopping, </w:t>
      </w:r>
      <w:r>
        <w:rPr>
          <w:rFonts w:ascii="Times New Roman" w:hAnsi="Times New Roman" w:eastAsia="宋体"/>
          <w:i/>
          <w:iCs/>
          <w:kern w:val="2"/>
          <w:sz w:val="20"/>
          <w:szCs w:val="20"/>
        </w:rPr>
        <w:t xml:space="preserve">one or more of the following parameters </w:t>
      </w:r>
      <w:r>
        <w:rPr>
          <w:rFonts w:hint="eastAsia" w:ascii="Times New Roman" w:hAnsi="Times New Roman" w:eastAsia="宋体"/>
          <w:i/>
          <w:iCs/>
          <w:kern w:val="2"/>
          <w:sz w:val="20"/>
          <w:szCs w:val="20"/>
        </w:rPr>
        <w:t>in assistance data</w:t>
      </w:r>
      <w:r>
        <w:rPr>
          <w:rFonts w:ascii="Times New Roman" w:hAnsi="Times New Roman" w:eastAsia="宋体"/>
          <w:i/>
          <w:iCs/>
          <w:kern w:val="2"/>
          <w:sz w:val="20"/>
          <w:szCs w:val="20"/>
        </w:rPr>
        <w:t xml:space="preserve"> or location request</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should be introduced to facilitate UE’s PRS measurement</w:t>
      </w:r>
      <w:r>
        <w:rPr>
          <w:rFonts w:ascii="Times New Roman" w:hAnsi="Times New Roman" w:eastAsia="宋体"/>
          <w:bCs/>
          <w:i/>
          <w:iCs/>
          <w:kern w:val="2"/>
          <w:sz w:val="20"/>
          <w:szCs w:val="20"/>
        </w:rPr>
        <w:t>.</w:t>
      </w:r>
    </w:p>
    <w:p>
      <w:pPr>
        <w:pStyle w:val="89"/>
        <w:widowControl w:val="0"/>
        <w:numPr>
          <w:ilvl w:val="0"/>
          <w:numId w:val="6"/>
        </w:numPr>
        <w:snapToGrid w:val="0"/>
        <w:spacing w:after="0" w:line="240" w:lineRule="auto"/>
        <w:jc w:val="both"/>
        <w:rPr>
          <w:rFonts w:eastAsiaTheme="minorEastAsia"/>
          <w:i/>
          <w:sz w:val="20"/>
        </w:rPr>
      </w:pPr>
      <w:r>
        <w:rPr>
          <w:rFonts w:eastAsiaTheme="minorEastAsia"/>
          <w:i/>
          <w:sz w:val="20"/>
        </w:rPr>
        <w:t>Number of hops</w:t>
      </w:r>
    </w:p>
    <w:p>
      <w:pPr>
        <w:pStyle w:val="89"/>
        <w:widowControl w:val="0"/>
        <w:numPr>
          <w:ilvl w:val="0"/>
          <w:numId w:val="6"/>
        </w:numPr>
        <w:snapToGrid w:val="0"/>
        <w:spacing w:after="0" w:line="240" w:lineRule="auto"/>
        <w:jc w:val="both"/>
        <w:rPr>
          <w:rFonts w:eastAsiaTheme="minorEastAsia"/>
          <w:i/>
          <w:sz w:val="20"/>
        </w:rPr>
      </w:pPr>
      <w:r>
        <w:rPr>
          <w:rFonts w:eastAsiaTheme="minorEastAsia"/>
          <w:i/>
          <w:sz w:val="20"/>
        </w:rPr>
        <w:t>Number of overlapped RB between hops</w:t>
      </w:r>
    </w:p>
    <w:p>
      <w:pPr>
        <w:pStyle w:val="89"/>
        <w:widowControl w:val="0"/>
        <w:numPr>
          <w:ilvl w:val="0"/>
          <w:numId w:val="6"/>
        </w:numPr>
        <w:snapToGrid w:val="0"/>
        <w:spacing w:after="0" w:line="240" w:lineRule="auto"/>
        <w:jc w:val="both"/>
        <w:rPr>
          <w:rFonts w:eastAsiaTheme="minorEastAsia"/>
          <w:i/>
          <w:sz w:val="20"/>
        </w:rPr>
      </w:pPr>
      <w:r>
        <w:rPr>
          <w:rFonts w:eastAsiaTheme="minorEastAsia"/>
          <w:i/>
          <w:sz w:val="20"/>
        </w:rPr>
        <w:t>Total bandwidth of all hops</w:t>
      </w:r>
    </w:p>
    <w:p>
      <w:pPr>
        <w:pStyle w:val="3"/>
        <w:snapToGrid w:val="0"/>
        <w:spacing w:line="240" w:lineRule="auto"/>
        <w:rPr>
          <w:rFonts w:ascii="Arial" w:hAnsi="Arial" w:cs="Arial"/>
          <w:b/>
          <w:sz w:val="24"/>
          <w:szCs w:val="24"/>
        </w:rPr>
      </w:pPr>
      <w:r>
        <w:rPr>
          <w:rFonts w:hint="eastAsia" w:ascii="Arial" w:hAnsi="Arial" w:eastAsia="宋体" w:cs="Arial"/>
          <w:b/>
          <w:sz w:val="24"/>
          <w:szCs w:val="24"/>
        </w:rPr>
        <w:t>2.</w:t>
      </w:r>
      <w:r>
        <w:rPr>
          <w:rFonts w:ascii="Arial" w:hAnsi="Arial" w:eastAsia="宋体" w:cs="Arial"/>
          <w:b/>
          <w:sz w:val="24"/>
          <w:szCs w:val="24"/>
        </w:rPr>
        <w:t>3</w:t>
      </w:r>
      <w:r>
        <w:rPr>
          <w:rFonts w:hint="eastAsia" w:ascii="Arial" w:hAnsi="Arial" w:eastAsia="宋体" w:cs="Arial"/>
          <w:b/>
          <w:sz w:val="24"/>
          <w:szCs w:val="24"/>
        </w:rPr>
        <w:t xml:space="preserve"> </w:t>
      </w:r>
      <w:r>
        <w:rPr>
          <w:rFonts w:ascii="Arial" w:hAnsi="Arial" w:cs="Arial"/>
          <w:b/>
          <w:sz w:val="24"/>
          <w:szCs w:val="24"/>
        </w:rPr>
        <w:t>On-demanded PRS</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In</w:t>
      </w:r>
      <w:r>
        <w:rPr>
          <w:rFonts w:hint="eastAsia" w:ascii="Times New Roman" w:hAnsi="Times New Roman" w:eastAsia="宋体"/>
          <w:kern w:val="2"/>
          <w:sz w:val="20"/>
          <w:szCs w:val="20"/>
        </w:rPr>
        <w:t xml:space="preserve"> TS 38.305</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_Ref131498922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[3]</w:t>
      </w:r>
      <w:r>
        <w:rPr>
          <w:rFonts w:ascii="Times New Roman" w:hAnsi="Times New Roman" w:eastAsia="宋体"/>
          <w:kern w:val="2"/>
          <w:sz w:val="20"/>
          <w:szCs w:val="20"/>
        </w:rPr>
        <w:fldChar w:fldCharType="end"/>
      </w:r>
      <w:r>
        <w:rPr>
          <w:rFonts w:ascii="Times New Roman" w:hAnsi="Times New Roman" w:eastAsia="宋体"/>
          <w:kern w:val="2"/>
          <w:sz w:val="20"/>
          <w:szCs w:val="20"/>
        </w:rPr>
        <w:t>, the on-demanded PRS is described as</w:t>
      </w:r>
      <w:r>
        <w:rPr>
          <w:rFonts w:hint="eastAsia" w:ascii="Times New Roman" w:hAnsi="Times New Roman" w:eastAsia="宋体"/>
          <w:kern w:val="2"/>
          <w:sz w:val="20"/>
          <w:szCs w:val="20"/>
        </w:rPr>
        <w:t>: o</w:t>
      </w:r>
      <w:r>
        <w:rPr>
          <w:rFonts w:ascii="Times New Roman" w:hAnsi="Times New Roman" w:eastAsia="宋体"/>
          <w:kern w:val="2"/>
          <w:sz w:val="20"/>
          <w:szCs w:val="20"/>
        </w:rPr>
        <w:t xml:space="preserve">n-Demand PRS transmission procedure allows the LMF to control and decide whether PRS is transmitted or not and to change the characteristics of an ongoing PRS transmission. The on-demand PRS transmission procedure can be initiated either by the UE or LMF. The actual PRS changes are requested by the LMF irrespective of whether the procedure is UE- or LMF-initiated. </w:t>
      </w:r>
      <w:r>
        <w:rPr>
          <w:rFonts w:hint="eastAsia" w:ascii="Times New Roman" w:hAnsi="Times New Roman" w:eastAsia="宋体"/>
          <w:kern w:val="2"/>
          <w:sz w:val="20"/>
          <w:szCs w:val="20"/>
        </w:rPr>
        <w:t>In short, a</w:t>
      </w:r>
      <w:r>
        <w:rPr>
          <w:rFonts w:ascii="Times New Roman" w:hAnsi="Times New Roman" w:eastAsia="宋体"/>
          <w:kern w:val="2"/>
          <w:sz w:val="20"/>
          <w:szCs w:val="20"/>
        </w:rPr>
        <w:t xml:space="preserve"> UE</w:t>
      </w:r>
      <w:r>
        <w:rPr>
          <w:rFonts w:hint="eastAsia" w:ascii="Times New Roman" w:hAnsi="Times New Roman" w:eastAsia="宋体"/>
          <w:kern w:val="2"/>
          <w:sz w:val="20"/>
          <w:szCs w:val="20"/>
        </w:rPr>
        <w:t xml:space="preserve"> (or LMF)</w:t>
      </w:r>
      <w:r>
        <w:rPr>
          <w:rFonts w:ascii="Times New Roman" w:hAnsi="Times New Roman" w:eastAsia="宋体"/>
          <w:kern w:val="2"/>
          <w:sz w:val="20"/>
          <w:szCs w:val="20"/>
        </w:rPr>
        <w:t xml:space="preserve"> can request to LMF</w:t>
      </w:r>
      <w:r>
        <w:rPr>
          <w:rFonts w:hint="eastAsia" w:ascii="Times New Roman" w:hAnsi="Times New Roman" w:eastAsia="宋体"/>
          <w:kern w:val="2"/>
          <w:sz w:val="20"/>
          <w:szCs w:val="20"/>
        </w:rPr>
        <w:t xml:space="preserve"> (or TRP)</w:t>
      </w:r>
      <w:r>
        <w:rPr>
          <w:rFonts w:ascii="Times New Roman" w:hAnsi="Times New Roman" w:eastAsia="宋体"/>
          <w:kern w:val="2"/>
          <w:sz w:val="20"/>
          <w:szCs w:val="20"/>
        </w:rPr>
        <w:t xml:space="preserve"> for a “better” configuration of PRS. For example, a UE can request a larger bandwidth of PRS for higher positioning accuracy.</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For a RedCap UE, it can request a larger </w:t>
      </w:r>
      <w:r>
        <w:rPr>
          <w:rFonts w:hint="eastAsia" w:ascii="Times New Roman" w:hAnsi="Times New Roman" w:eastAsia="宋体"/>
          <w:kern w:val="2"/>
          <w:sz w:val="20"/>
          <w:szCs w:val="20"/>
        </w:rPr>
        <w:t>bandwidth</w:t>
      </w:r>
      <w:r>
        <w:rPr>
          <w:rFonts w:ascii="Times New Roman" w:hAnsi="Times New Roman" w:eastAsia="宋体"/>
          <w:kern w:val="2"/>
          <w:sz w:val="20"/>
          <w:szCs w:val="20"/>
        </w:rPr>
        <w:t xml:space="preserve"> than that UE supports, this implies UE is requesting PRS hopping for the equivalently larger PRS bandwidth. Hence, we have the following proposal.</w:t>
      </w:r>
    </w:p>
    <w:p>
      <w:pPr>
        <w:adjustRightInd w:val="0"/>
        <w:snapToGrid w:val="0"/>
        <w:spacing w:before="180" w:beforeLines="50" w:after="180" w:afterLines="50"/>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Proposal 4</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For on-demand PRS, a RedCap UE can request a larger bandwidth that the UE supports</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which</w:t>
      </w:r>
      <w:r>
        <w:rPr>
          <w:rFonts w:hint="eastAsia" w:ascii="Times New Roman" w:hAnsi="Times New Roman" w:eastAsia="宋体"/>
          <w:bCs/>
          <w:i/>
          <w:iCs/>
          <w:kern w:val="2"/>
          <w:sz w:val="20"/>
          <w:szCs w:val="20"/>
        </w:rPr>
        <w:t xml:space="preserve"> implies PRS frequency hopping measurement is requested</w:t>
      </w:r>
      <w:r>
        <w:rPr>
          <w:rFonts w:ascii="Times New Roman" w:hAnsi="Times New Roman" w:eastAsia="宋体"/>
          <w:bCs/>
          <w:i/>
          <w:iCs/>
          <w:kern w:val="2"/>
          <w:sz w:val="20"/>
          <w:szCs w:val="20"/>
        </w:rPr>
        <w:t>.</w:t>
      </w:r>
    </w:p>
    <w:p>
      <w:pPr>
        <w:adjustRightInd w:val="0"/>
        <w:snapToGrid w:val="0"/>
        <w:spacing w:before="180" w:beforeLines="50" w:after="180" w:afterLines="50"/>
        <w:jc w:val="both"/>
        <w:rPr>
          <w:rFonts w:ascii="Times New Roman" w:hAnsi="Times New Roman" w:eastAsia="宋体"/>
          <w:kern w:val="2"/>
          <w:sz w:val="20"/>
          <w:szCs w:val="20"/>
        </w:rPr>
      </w:pPr>
    </w:p>
    <w:p>
      <w:pPr>
        <w:pStyle w:val="2"/>
        <w:snapToGrid w:val="0"/>
        <w:spacing w:before="120" w:after="180" w:afterLines="50"/>
        <w:ind w:left="431" w:hanging="431"/>
        <w:jc w:val="both"/>
        <w:rPr>
          <w:sz w:val="28"/>
          <w:lang w:val="en-US"/>
        </w:rPr>
      </w:pPr>
      <w:r>
        <w:rPr>
          <w:sz w:val="28"/>
          <w:lang w:val="en-US"/>
        </w:rPr>
        <w:t>UL-SRS Tx hopping</w:t>
      </w:r>
    </w:p>
    <w:p>
      <w:pPr>
        <w:widowControl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w:t>
      </w:r>
      <w:r>
        <w:rPr>
          <w:rFonts w:ascii="Times New Roman" w:hAnsi="Times New Roman" w:eastAsia="宋体"/>
          <w:kern w:val="2"/>
          <w:sz w:val="20"/>
          <w:szCs w:val="20"/>
        </w:rPr>
        <w:t>3GPP RAN1#112bis-e</w:t>
      </w:r>
      <w:r>
        <w:rPr>
          <w:rFonts w:hint="eastAsia" w:ascii="Times New Roman" w:hAnsi="Times New Roman" w:eastAsia="宋体"/>
          <w:kern w:val="2"/>
          <w:sz w:val="20"/>
          <w:szCs w:val="20"/>
        </w:rPr>
        <w:t xml:space="preserve"> meeting, </w:t>
      </w:r>
      <w:r>
        <w:rPr>
          <w:rFonts w:ascii="Times New Roman" w:hAnsi="Times New Roman" w:eastAsia="宋体"/>
          <w:kern w:val="2"/>
          <w:sz w:val="20"/>
          <w:szCs w:val="20"/>
        </w:rPr>
        <w:t>some agreements on UL-SRS Tx hopping</w:t>
      </w:r>
      <w:r>
        <w:rPr>
          <w:rFonts w:hint="eastAsia" w:ascii="Times New Roman" w:hAnsi="Times New Roman" w:eastAsia="宋体"/>
          <w:kern w:val="2"/>
          <w:sz w:val="20"/>
          <w:szCs w:val="20"/>
        </w:rPr>
        <w:t xml:space="preserve"> w</w:t>
      </w:r>
      <w:r>
        <w:rPr>
          <w:rFonts w:ascii="Times New Roman" w:hAnsi="Times New Roman" w:eastAsia="宋体"/>
          <w:kern w:val="2"/>
          <w:sz w:val="20"/>
          <w:szCs w:val="20"/>
        </w:rPr>
        <w:t>ere</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reach</w:t>
      </w:r>
      <w:r>
        <w:rPr>
          <w:rFonts w:hint="eastAsia" w:ascii="Times New Roman" w:hAnsi="Times New Roman" w:eastAsia="宋体"/>
          <w:kern w:val="2"/>
          <w:sz w:val="20"/>
          <w:szCs w:val="20"/>
        </w:rPr>
        <w:t>ed</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_Ref130907638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[1]</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while something like hopping pattern, overlapping PRB and measurement / report are still open.</w:t>
      </w:r>
    </w:p>
    <w:p>
      <w:pPr>
        <w:pStyle w:val="3"/>
        <w:snapToGrid w:val="0"/>
        <w:spacing w:line="240" w:lineRule="auto"/>
        <w:rPr>
          <w:rFonts w:ascii="Arial" w:hAnsi="Arial" w:cs="Arial" w:eastAsiaTheme="minorEastAsia"/>
          <w:b/>
          <w:sz w:val="24"/>
          <w:szCs w:val="24"/>
        </w:rPr>
      </w:pPr>
      <w:r>
        <w:rPr>
          <w:rFonts w:ascii="Arial" w:hAnsi="Arial" w:cs="Arial"/>
          <w:b/>
          <w:sz w:val="24"/>
          <w:szCs w:val="24"/>
        </w:rPr>
        <w:t xml:space="preserve">3.1 </w:t>
      </w:r>
      <w:r>
        <w:rPr>
          <w:rFonts w:ascii="Arial" w:hAnsi="Arial" w:cs="Arial" w:eastAsiaTheme="minorEastAsia"/>
          <w:b/>
          <w:sz w:val="24"/>
          <w:szCs w:val="24"/>
        </w:rPr>
        <w:t>Hopping pattern</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For a channel, there is a channel coherency duration (e.g., depends on application environment). If two hops are separated far away (e.g., exceeds the channel coherency duration), then the radio wave on these two hops may experience two different channels (e.g., loss of phase coherency between hops).</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For two adjacent hops (in time domain), even these two hops experience similar channels, the channel characters might be different (e.g., some phase rotation between hops because of high Doppler). To overcome this issue, the frequency overlapping between two adjacent hops should be applied. To enable frequency overlapping between any two adjacent hops, hopping from the lowest (or highest) frequency can be applied as the Figure </w:t>
      </w:r>
      <w:r>
        <w:rPr>
          <w:rFonts w:ascii="Times New Roman" w:hAnsi="Times New Roman" w:eastAsiaTheme="minorEastAsia"/>
          <w:sz w:val="20"/>
          <w:szCs w:val="20"/>
        </w:rPr>
        <w:t>1</w:t>
      </w:r>
      <w:r>
        <w:rPr>
          <w:rFonts w:ascii="Times New Roman" w:hAnsi="Times New Roman"/>
          <w:sz w:val="20"/>
          <w:szCs w:val="20"/>
        </w:rPr>
        <w:t>.</w:t>
      </w:r>
    </w:p>
    <w:p>
      <w:pPr>
        <w:widowControl w:val="0"/>
        <w:snapToGrid w:val="0"/>
        <w:spacing w:after="180" w:afterLines="50" w:line="240" w:lineRule="auto"/>
        <w:jc w:val="both"/>
        <w:rPr>
          <w:rFonts w:ascii="Times New Roman" w:hAnsi="Times New Roman" w:eastAsiaTheme="minorEastAsia"/>
          <w:sz w:val="20"/>
          <w:szCs w:val="20"/>
        </w:rPr>
      </w:pPr>
      <w:r>
        <w:rPr>
          <w:rFonts w:ascii="Times New Roman" w:hAnsi="Times New Roman"/>
          <w:sz w:val="20"/>
          <w:szCs w:val="20"/>
        </w:rPr>
        <w:t xml:space="preserve">In addition, SRS multiplexing between different UEs should be considered. The pattern is shown as follows. The Mod operation should be used. Assuming hopping index is from {0, 1, 2 … N-1} in frequency domain, the hopping order in time should be { </w:t>
      </w:r>
      <w:r>
        <w:rPr>
          <w:rFonts w:asciiTheme="minorEastAsia" w:hAnsiTheme="minorEastAsia" w:eastAsiaTheme="minorEastAsia"/>
          <w:sz w:val="20"/>
          <w:szCs w:val="20"/>
        </w:rPr>
        <w:t>n</w:t>
      </w:r>
      <w:r>
        <w:rPr>
          <w:rFonts w:ascii="Times New Roman" w:hAnsi="Times New Roman"/>
          <w:sz w:val="20"/>
          <w:szCs w:val="20"/>
          <w:vertAlign w:val="subscript"/>
        </w:rPr>
        <w:t>hop</w:t>
      </w:r>
      <w:r>
        <w:rPr>
          <w:rFonts w:ascii="Times New Roman" w:hAnsi="Times New Roman"/>
          <w:sz w:val="20"/>
          <w:szCs w:val="20"/>
        </w:rPr>
        <w:t>, n</w:t>
      </w:r>
      <w:r>
        <w:rPr>
          <w:rFonts w:ascii="Times New Roman" w:hAnsi="Times New Roman"/>
          <w:sz w:val="20"/>
          <w:szCs w:val="20"/>
          <w:vertAlign w:val="subscript"/>
        </w:rPr>
        <w:t>hop</w:t>
      </w:r>
      <w:r>
        <w:rPr>
          <w:rFonts w:ascii="Times New Roman" w:hAnsi="Times New Roman"/>
          <w:sz w:val="20"/>
          <w:szCs w:val="20"/>
        </w:rPr>
        <w:t>+1, …, n</w:t>
      </w:r>
      <w:r>
        <w:rPr>
          <w:rFonts w:ascii="Times New Roman" w:hAnsi="Times New Roman"/>
          <w:sz w:val="20"/>
          <w:szCs w:val="20"/>
          <w:vertAlign w:val="subscript"/>
        </w:rPr>
        <w:t>hop</w:t>
      </w:r>
      <w:r>
        <w:rPr>
          <w:rFonts w:ascii="Times New Roman" w:hAnsi="Times New Roman"/>
          <w:sz w:val="20"/>
          <w:szCs w:val="20"/>
        </w:rPr>
        <w:t>+N-1}mod N, where n</w:t>
      </w:r>
      <w:r>
        <w:rPr>
          <w:rFonts w:ascii="Times New Roman" w:hAnsi="Times New Roman"/>
          <w:sz w:val="20"/>
          <w:szCs w:val="20"/>
          <w:vertAlign w:val="subscript"/>
        </w:rPr>
        <w:t>hop</w:t>
      </w:r>
      <w:r>
        <w:rPr>
          <w:rFonts w:ascii="Times New Roman" w:hAnsi="Times New Roman"/>
          <w:sz w:val="20"/>
          <w:szCs w:val="20"/>
        </w:rPr>
        <w:t xml:space="preserve"> is the start hop index and N is the number of hops. As shown in Figure </w:t>
      </w:r>
      <w:r>
        <w:rPr>
          <w:rFonts w:hint="eastAsia" w:ascii="Times New Roman" w:hAnsi="Times New Roman" w:eastAsiaTheme="minorEastAsia"/>
          <w:sz w:val="20"/>
          <w:szCs w:val="20"/>
        </w:rPr>
        <w:t>1</w:t>
      </w:r>
      <w:r>
        <w:rPr>
          <w:rFonts w:ascii="Times New Roman" w:hAnsi="Times New Roman"/>
          <w:sz w:val="20"/>
          <w:szCs w:val="20"/>
        </w:rPr>
        <w:t xml:space="preserve"> with N=5, n</w:t>
      </w:r>
      <w:r>
        <w:rPr>
          <w:rFonts w:ascii="Times New Roman" w:hAnsi="Times New Roman"/>
          <w:sz w:val="20"/>
          <w:szCs w:val="20"/>
          <w:vertAlign w:val="subscript"/>
        </w:rPr>
        <w:t>hop</w:t>
      </w:r>
      <w:r>
        <w:rPr>
          <w:rFonts w:ascii="Times New Roman" w:hAnsi="Times New Roman"/>
          <w:sz w:val="20"/>
          <w:szCs w:val="20"/>
        </w:rPr>
        <w:t xml:space="preserve"> = 0 for UE1, and n</w:t>
      </w:r>
      <w:r>
        <w:rPr>
          <w:rFonts w:ascii="Times New Roman" w:hAnsi="Times New Roman"/>
          <w:sz w:val="20"/>
          <w:szCs w:val="20"/>
          <w:vertAlign w:val="subscript"/>
        </w:rPr>
        <w:t xml:space="preserve">hop </w:t>
      </w:r>
      <w:r>
        <w:rPr>
          <w:rFonts w:ascii="Times New Roman" w:hAnsi="Times New Roman"/>
          <w:sz w:val="20"/>
          <w:szCs w:val="20"/>
        </w:rPr>
        <w:t xml:space="preserve">= </w:t>
      </w:r>
      <w:r>
        <w:rPr>
          <w:rFonts w:hint="eastAsia" w:ascii="Times New Roman" w:hAnsi="Times New Roman" w:eastAsia="宋体"/>
          <w:sz w:val="20"/>
          <w:szCs w:val="20"/>
        </w:rPr>
        <w:t>2</w:t>
      </w:r>
      <w:r>
        <w:rPr>
          <w:rFonts w:ascii="Times New Roman" w:hAnsi="Times New Roman"/>
          <w:sz w:val="20"/>
          <w:szCs w:val="20"/>
        </w:rPr>
        <w:t xml:space="preserve"> for UE2.</w:t>
      </w:r>
      <w:r>
        <w:rPr>
          <w:rFonts w:hint="eastAsia" w:ascii="Times New Roman" w:hAnsi="Times New Roman" w:eastAsiaTheme="minorEastAsia"/>
          <w:sz w:val="20"/>
          <w:szCs w:val="20"/>
        </w:rPr>
        <w:t xml:space="preserve"> </w:t>
      </w:r>
    </w:p>
    <w:p>
      <w:pPr>
        <w:widowControl w:val="0"/>
        <w:snapToGrid w:val="0"/>
        <w:spacing w:after="180" w:afterLines="50" w:line="240" w:lineRule="auto"/>
        <w:ind w:firstLine="120" w:firstLineChars="50"/>
        <w:jc w:val="center"/>
        <w:rPr>
          <w:rFonts w:ascii="Times New Roman" w:hAnsi="Times New Roman"/>
          <w:sz w:val="20"/>
          <w:szCs w:val="20"/>
        </w:rPr>
      </w:pPr>
      <w:r>
        <w:drawing>
          <wp:inline distT="0" distB="0" distL="114300" distR="114300">
            <wp:extent cx="4304030" cy="231140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7"/>
                    <a:srcRect b="4487"/>
                    <a:stretch>
                      <a:fillRect/>
                    </a:stretch>
                  </pic:blipFill>
                  <pic:spPr>
                    <a:xfrm>
                      <a:off x="0" y="0"/>
                      <a:ext cx="4304030" cy="2311400"/>
                    </a:xfrm>
                    <a:prstGeom prst="rect">
                      <a:avLst/>
                    </a:prstGeom>
                    <a:noFill/>
                    <a:ln>
                      <a:noFill/>
                    </a:ln>
                  </pic:spPr>
                </pic:pic>
              </a:graphicData>
            </a:graphic>
          </wp:inline>
        </w:drawing>
      </w:r>
    </w:p>
    <w:p>
      <w:pPr>
        <w:widowControl w:val="0"/>
        <w:snapToGrid w:val="0"/>
        <w:spacing w:after="180" w:afterLines="50" w:line="240" w:lineRule="auto"/>
        <w:jc w:val="center"/>
        <w:rPr>
          <w:rFonts w:ascii="Times New Roman" w:hAnsi="Times New Roman" w:eastAsiaTheme="minorEastAsia"/>
          <w:kern w:val="2"/>
          <w:sz w:val="21"/>
        </w:rPr>
      </w:pPr>
      <w:r>
        <w:rPr>
          <w:rFonts w:ascii="Times New Roman" w:hAnsi="Times New Roman" w:eastAsiaTheme="minorEastAsia"/>
          <w:kern w:val="2"/>
          <w:sz w:val="21"/>
        </w:rPr>
        <w:t xml:space="preserve">Figure </w:t>
      </w:r>
      <w:r>
        <w:rPr>
          <w:rFonts w:hint="eastAsia" w:ascii="Times New Roman" w:hAnsi="Times New Roman" w:eastAsiaTheme="minorEastAsia"/>
          <w:kern w:val="2"/>
          <w:sz w:val="21"/>
        </w:rPr>
        <w:t>1</w:t>
      </w:r>
      <w:r>
        <w:rPr>
          <w:rFonts w:ascii="Times New Roman" w:hAnsi="Times New Roman" w:eastAsiaTheme="minorEastAsia"/>
          <w:kern w:val="2"/>
          <w:sz w:val="21"/>
        </w:rPr>
        <w:t xml:space="preserve">  SRS multiplexing between two UEs in one hop cycle</w:t>
      </w:r>
    </w:p>
    <w:p>
      <w:pPr>
        <w:widowControl w:val="0"/>
        <w:snapToGrid w:val="0"/>
        <w:spacing w:after="180" w:afterLines="50" w:line="240" w:lineRule="auto"/>
        <w:jc w:val="both"/>
        <w:rPr>
          <w:rFonts w:ascii="Times New Roman" w:hAnsi="Times New Roman"/>
          <w:sz w:val="20"/>
          <w:szCs w:val="20"/>
        </w:rPr>
      </w:pPr>
      <w:r>
        <w:rPr>
          <w:rFonts w:ascii="Times New Roman" w:hAnsi="Times New Roman" w:eastAsia="宋体"/>
          <w:kern w:val="2"/>
          <w:sz w:val="20"/>
          <w:szCs w:val="20"/>
        </w:rPr>
        <w:t>Hence, we have the following proposal.</w:t>
      </w:r>
    </w:p>
    <w:p>
      <w:pPr>
        <w:adjustRightInd w:val="0"/>
        <w:snapToGrid w:val="0"/>
        <w:spacing w:after="0" w:line="240" w:lineRule="auto"/>
        <w:jc w:val="both"/>
        <w:rPr>
          <w:rFonts w:ascii="Times New Roman" w:hAnsi="Times New Roman" w:cs="Times New Roman"/>
          <w:i/>
        </w:rPr>
      </w:pPr>
      <w:r>
        <w:rPr>
          <w:rFonts w:ascii="Times New Roman" w:hAnsi="Times New Roman" w:eastAsia="宋体" w:cs="Times New Roman"/>
          <w:b/>
          <w:bCs/>
          <w:i/>
          <w:iCs/>
          <w:kern w:val="2"/>
          <w:sz w:val="20"/>
          <w:szCs w:val="20"/>
        </w:rPr>
        <w:t xml:space="preserve">Proposal </w:t>
      </w:r>
      <w:r>
        <w:rPr>
          <w:rFonts w:hint="eastAsia" w:ascii="Times New Roman" w:hAnsi="Times New Roman" w:eastAsia="宋体" w:cs="Times New Roman"/>
          <w:b/>
          <w:bCs/>
          <w:i/>
          <w:iCs/>
          <w:kern w:val="2"/>
          <w:sz w:val="20"/>
          <w:szCs w:val="20"/>
        </w:rPr>
        <w:t>5</w:t>
      </w:r>
      <w:r>
        <w:rPr>
          <w:rFonts w:ascii="Times New Roman" w:hAnsi="Times New Roman" w:eastAsia="宋体" w:cs="Times New Roman"/>
          <w:bCs/>
          <w:i/>
          <w:iCs/>
          <w:kern w:val="2"/>
          <w:sz w:val="20"/>
          <w:szCs w:val="20"/>
        </w:rPr>
        <w:t>: To improve positioning performance of SRS with hopping, overlapped PRBs are supported for two adjacent hops.</w:t>
      </w:r>
      <w:r>
        <w:rPr>
          <w:rFonts w:ascii="Times New Roman" w:hAnsi="Times New Roman" w:cs="Times New Roman"/>
          <w:i/>
        </w:rPr>
        <w:t xml:space="preserve"> </w:t>
      </w:r>
    </w:p>
    <w:p>
      <w:pPr>
        <w:pStyle w:val="89"/>
        <w:widowControl w:val="0"/>
        <w:numPr>
          <w:ilvl w:val="0"/>
          <w:numId w:val="6"/>
        </w:numPr>
        <w:snapToGrid w:val="0"/>
        <w:spacing w:after="0" w:line="240" w:lineRule="auto"/>
        <w:jc w:val="both"/>
        <w:rPr>
          <w:rFonts w:cs="Times New Roman"/>
          <w:i/>
          <w:kern w:val="2"/>
          <w:sz w:val="20"/>
        </w:rPr>
      </w:pPr>
      <w:r>
        <w:rPr>
          <w:rFonts w:cs="Times New Roman"/>
          <w:i/>
          <w:sz w:val="20"/>
        </w:rPr>
        <w:t xml:space="preserve">The hopping order in time is { </w:t>
      </w:r>
      <w:r>
        <w:rPr>
          <w:rFonts w:cs="Times New Roman" w:eastAsiaTheme="minorEastAsia"/>
          <w:i/>
          <w:sz w:val="20"/>
          <w:lang w:eastAsia="zh-CN"/>
        </w:rPr>
        <w:t>n</w:t>
      </w:r>
      <w:r>
        <w:rPr>
          <w:rFonts w:cs="Times New Roman"/>
          <w:i/>
          <w:sz w:val="20"/>
          <w:vertAlign w:val="subscript"/>
        </w:rPr>
        <w:t>hop</w:t>
      </w:r>
      <w:r>
        <w:rPr>
          <w:rFonts w:cs="Times New Roman"/>
          <w:i/>
          <w:sz w:val="20"/>
        </w:rPr>
        <w:t>, n</w:t>
      </w:r>
      <w:r>
        <w:rPr>
          <w:rFonts w:cs="Times New Roman"/>
          <w:i/>
          <w:sz w:val="20"/>
          <w:vertAlign w:val="subscript"/>
        </w:rPr>
        <w:t>hop</w:t>
      </w:r>
      <w:r>
        <w:rPr>
          <w:rFonts w:cs="Times New Roman"/>
          <w:i/>
          <w:sz w:val="20"/>
        </w:rPr>
        <w:t>+1, …, n</w:t>
      </w:r>
      <w:r>
        <w:rPr>
          <w:rFonts w:cs="Times New Roman"/>
          <w:i/>
          <w:sz w:val="20"/>
          <w:vertAlign w:val="subscript"/>
        </w:rPr>
        <w:t>hop</w:t>
      </w:r>
      <w:r>
        <w:rPr>
          <w:rFonts w:cs="Times New Roman"/>
          <w:i/>
          <w:sz w:val="20"/>
        </w:rPr>
        <w:t>+N-1}mod N, where n</w:t>
      </w:r>
      <w:r>
        <w:rPr>
          <w:rFonts w:cs="Times New Roman"/>
          <w:i/>
          <w:sz w:val="20"/>
          <w:vertAlign w:val="subscript"/>
        </w:rPr>
        <w:t>hop</w:t>
      </w:r>
      <w:r>
        <w:rPr>
          <w:rFonts w:cs="Times New Roman"/>
          <w:i/>
          <w:sz w:val="20"/>
        </w:rPr>
        <w:t xml:space="preserve"> is the start hop index and N is the number of hops</w:t>
      </w:r>
    </w:p>
    <w:p>
      <w:pPr>
        <w:pStyle w:val="49"/>
        <w:snapToGrid w:val="0"/>
        <w:spacing w:before="180" w:beforeLines="50" w:after="180" w:afterLines="50" w:line="240" w:lineRule="auto"/>
        <w:ind w:firstLine="0" w:firstLineChars="0"/>
        <w:jc w:val="center"/>
        <w:rPr>
          <w:sz w:val="20"/>
          <w:szCs w:val="20"/>
        </w:rPr>
      </w:pPr>
    </w:p>
    <w:p>
      <w:pPr>
        <w:pStyle w:val="3"/>
        <w:snapToGrid w:val="0"/>
        <w:spacing w:line="240" w:lineRule="auto"/>
        <w:rPr>
          <w:rFonts w:ascii="Arial" w:hAnsi="Arial" w:eastAsia="宋体" w:cs="Arial"/>
          <w:b/>
          <w:sz w:val="24"/>
          <w:szCs w:val="24"/>
        </w:rPr>
      </w:pPr>
      <w:r>
        <w:rPr>
          <w:rFonts w:ascii="Arial" w:hAnsi="Arial" w:cs="Arial"/>
          <w:b/>
          <w:sz w:val="24"/>
          <w:szCs w:val="24"/>
        </w:rPr>
        <w:t>3.2 Overlapp</w:t>
      </w:r>
      <w:r>
        <w:rPr>
          <w:rFonts w:hint="eastAsia" w:ascii="Arial" w:hAnsi="Arial" w:eastAsia="宋体" w:cs="Arial"/>
          <w:b/>
          <w:sz w:val="24"/>
          <w:szCs w:val="24"/>
        </w:rPr>
        <w:t>ing</w:t>
      </w:r>
      <w:r>
        <w:rPr>
          <w:rFonts w:ascii="Arial" w:hAnsi="Arial" w:cs="Arial"/>
          <w:b/>
          <w:sz w:val="24"/>
          <w:szCs w:val="24"/>
        </w:rPr>
        <w:t xml:space="preserve"> </w:t>
      </w:r>
      <w:r>
        <w:rPr>
          <w:rFonts w:hint="eastAsia" w:ascii="Arial" w:hAnsi="Arial" w:eastAsia="宋体" w:cs="Arial"/>
          <w:b/>
          <w:sz w:val="24"/>
          <w:szCs w:val="24"/>
        </w:rPr>
        <w:t>P</w:t>
      </w:r>
      <w:r>
        <w:rPr>
          <w:rFonts w:ascii="Arial" w:hAnsi="Arial" w:cs="Arial"/>
          <w:b/>
          <w:sz w:val="24"/>
          <w:szCs w:val="24"/>
        </w:rPr>
        <w:t>RB</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the existing Rel-15/16/17, PT-RS is used to adjust phase rotation between OFDM symbols caused by phase noise in FR2 or Doppler shift. The motivation is the same as the design of overlapping PRBs between hops for RedCap UE for Rel-18 positioning here. </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According to TS 38.214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w:instrText>
      </w:r>
      <w:r>
        <w:rPr>
          <w:rFonts w:hint="eastAsia" w:ascii="Times New Roman" w:hAnsi="Times New Roman" w:eastAsia="宋体"/>
          <w:kern w:val="2"/>
          <w:sz w:val="20"/>
          <w:szCs w:val="20"/>
        </w:rPr>
        <w:instrText xml:space="preserve">REF _Ref130993226 \n \h</w:instrText>
      </w:r>
      <w:r>
        <w:rPr>
          <w:rFonts w:ascii="Times New Roman" w:hAnsi="Times New Roman" w:eastAsia="宋体"/>
          <w:kern w:val="2"/>
          <w:sz w:val="20"/>
          <w:szCs w:val="20"/>
        </w:rPr>
        <w:instrText xml:space="preserve">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[2]</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w:t>
      </w:r>
      <w:r>
        <w:rPr>
          <w:rFonts w:hint="eastAsia" w:ascii="Times New Roman" w:hAnsi="Times New Roman" w:eastAsia="宋体"/>
          <w:kern w:val="2"/>
          <w:sz w:val="20"/>
          <w:szCs w:val="20"/>
        </w:rPr>
        <w:t>, the</w:t>
      </w:r>
      <w:r>
        <w:rPr>
          <w:rFonts w:ascii="Times New Roman" w:hAnsi="Times New Roman" w:eastAsia="宋体"/>
          <w:kern w:val="2"/>
          <w:sz w:val="20"/>
          <w:szCs w:val="20"/>
        </w:rPr>
        <w:t xml:space="preserve"> density of PT-RS is related to the bandwidth allocated to data channel for </w:t>
      </w:r>
      <w:r>
        <w:rPr>
          <w:rFonts w:hint="eastAsia" w:ascii="Times New Roman" w:hAnsi="Times New Roman" w:eastAsia="宋体"/>
          <w:kern w:val="2"/>
          <w:sz w:val="20"/>
          <w:szCs w:val="20"/>
        </w:rPr>
        <w:t xml:space="preserve">good balance between </w:t>
      </w:r>
      <w:r>
        <w:rPr>
          <w:rFonts w:ascii="Times New Roman" w:hAnsi="Times New Roman" w:eastAsia="宋体"/>
          <w:kern w:val="2"/>
          <w:sz w:val="20"/>
          <w:szCs w:val="20"/>
        </w:rPr>
        <w:t>phase tracking</w:t>
      </w:r>
      <w:r>
        <w:rPr>
          <w:rFonts w:hint="eastAsia" w:ascii="Times New Roman" w:hAnsi="Times New Roman" w:eastAsia="宋体"/>
          <w:kern w:val="2"/>
          <w:sz w:val="20"/>
          <w:szCs w:val="20"/>
        </w:rPr>
        <w:t xml:space="preserve"> and RS overhead</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8"/>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937" w:type="dxa"/>
            <w:gridSpan w:val="2"/>
            <w:shd w:val="clear" w:color="auto" w:fill="E7E6E6"/>
            <w:vAlign w:val="center"/>
          </w:tcPr>
          <w:p>
            <w:pPr>
              <w:snapToGrid w:val="0"/>
              <w:spacing w:before="100" w:beforeAutospacing="1" w:after="100" w:afterAutospacing="1" w:line="240" w:lineRule="auto"/>
              <w:rPr>
                <w:rFonts w:ascii="Times New Roman" w:hAnsi="Times New Roman" w:eastAsia="宋体" w:cs="Times New Roman"/>
                <w:color w:val="000000"/>
                <w:kern w:val="2"/>
                <w:sz w:val="20"/>
                <w:szCs w:val="20"/>
              </w:rPr>
            </w:pPr>
            <w:r>
              <w:rPr>
                <w:rFonts w:ascii="Times New Roman" w:hAnsi="Times New Roman" w:cs="Times New Roman"/>
                <w:b/>
                <w:sz w:val="20"/>
                <w:szCs w:val="20"/>
                <w:u w:val="single"/>
              </w:rPr>
              <w:t>TS38.214</w:t>
            </w:r>
            <w:r>
              <w:rPr>
                <w:rFonts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968" w:type="dxa"/>
            <w:shd w:val="clear" w:color="auto" w:fill="E7E6E6"/>
            <w:vAlign w:val="center"/>
          </w:tcPr>
          <w:p>
            <w:pPr>
              <w:snapToGrid w:val="0"/>
              <w:spacing w:before="100" w:beforeAutospacing="1" w:after="100" w:afterAutospacing="1" w:line="240" w:lineRule="auto"/>
              <w:jc w:val="center"/>
              <w:rPr>
                <w:rFonts w:ascii="Times New Roman" w:hAnsi="Times New Roman" w:cs="Times New Roman" w:eastAsiaTheme="minorEastAsia"/>
                <w:b/>
                <w:sz w:val="20"/>
                <w:szCs w:val="20"/>
                <w:u w:val="single"/>
              </w:rPr>
            </w:pPr>
            <w:r>
              <w:rPr>
                <w:rFonts w:ascii="Times New Roman" w:hAnsi="Times New Roman" w:cs="Times New Roman"/>
                <w:sz w:val="20"/>
                <w:szCs w:val="20"/>
              </w:rPr>
              <w:t>Scheduled bandwidth</w:t>
            </w:r>
          </w:p>
        </w:tc>
        <w:tc>
          <w:tcPr>
            <w:tcW w:w="2969" w:type="dxa"/>
            <w:shd w:val="clear" w:color="auto" w:fill="E7E6E6"/>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b/>
                <w:color w:val="000000"/>
                <w:kern w:val="2"/>
                <w:sz w:val="20"/>
                <w:szCs w:val="20"/>
              </w:rPr>
            </w:pPr>
            <w:r>
              <w:rPr>
                <w:rFonts w:ascii="Times New Roman" w:hAnsi="Times New Roman" w:eastAsia="宋体" w:cs="Times New Roman"/>
                <w:b/>
                <w:color w:val="000000"/>
                <w:kern w:val="2"/>
                <w:sz w:val="20"/>
                <w:szCs w:val="20"/>
              </w:rPr>
              <w:t>Frequency density (</w:t>
            </w:r>
            <w:r>
              <w:rPr>
                <w:rFonts w:ascii="Times New Roman" w:hAnsi="Times New Roman" w:eastAsia="宋体" w:cs="Times New Roman"/>
                <w:b/>
                <w:color w:val="000000"/>
                <w:position w:val="-12"/>
                <w:sz w:val="20"/>
                <w:szCs w:val="20"/>
                <w:lang w:val="en-GB" w:eastAsia="en-US"/>
              </w:rPr>
              <w:object>
                <v:shape id="_x0000_i1025" o:spt="75" type="#_x0000_t75" style="height:22.15pt;width:37.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ascii="Times New Roman" w:hAnsi="Times New Roman" w:eastAsia="宋体" w:cs="Times New Roman"/>
                <w:b/>
                <w:color w:val="000000"/>
                <w:sz w:val="20"/>
                <w:szCs w:val="20"/>
                <w:lang w:val="en-GB"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snapToGrid w:val="0"/>
              <w:spacing w:before="100" w:beforeAutospacing="1" w:after="100" w:afterAutospacing="1" w:line="240" w:lineRule="auto"/>
              <w:jc w:val="center"/>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sz w:val="20"/>
                <w:szCs w:val="20"/>
                <w:vertAlign w:val="subscript"/>
              </w:rPr>
              <w:t>RB</w:t>
            </w:r>
            <w:r>
              <w:rPr>
                <w:rFonts w:ascii="Times New Roman" w:hAnsi="Times New Roman" w:cs="Times New Roman"/>
                <w:sz w:val="20"/>
                <w:szCs w:val="20"/>
              </w:rPr>
              <w:t xml:space="preserve"> &lt; N</w:t>
            </w:r>
            <w:r>
              <w:rPr>
                <w:rFonts w:ascii="Times New Roman" w:hAnsi="Times New Roman" w:cs="Times New Roman"/>
                <w:sz w:val="20"/>
                <w:szCs w:val="20"/>
                <w:vertAlign w:val="subscript"/>
              </w:rPr>
              <w:t>RB0</w:t>
            </w:r>
          </w:p>
        </w:tc>
        <w:tc>
          <w:tcPr>
            <w:tcW w:w="2969" w:type="dxa"/>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color w:val="000000"/>
                <w:kern w:val="2"/>
                <w:sz w:val="20"/>
                <w:szCs w:val="20"/>
              </w:rPr>
            </w:pPr>
            <w:r>
              <w:rPr>
                <w:rFonts w:ascii="Times New Roman" w:hAnsi="Times New Roman" w:eastAsia="宋体" w:cs="Times New Roman"/>
                <w:color w:val="000000"/>
                <w:kern w:val="2"/>
                <w:sz w:val="20"/>
                <w:szCs w:val="20"/>
              </w:rPr>
              <w:t>PT-RS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snapToGrid w:val="0"/>
              <w:spacing w:before="100" w:beforeAutospacing="1" w:after="100" w:afterAutospacing="1" w:line="240" w:lineRule="auto"/>
              <w:jc w:val="center"/>
              <w:rPr>
                <w:rFonts w:ascii="Times New Roman" w:hAnsi="Times New Roman" w:cs="Times New Roman"/>
                <w:sz w:val="20"/>
                <w:szCs w:val="20"/>
              </w:rPr>
            </w:pPr>
            <w:r>
              <w:rPr>
                <w:rFonts w:ascii="Times New Roman" w:hAnsi="Times New Roman" w:cs="Times New Roman"/>
                <w:i/>
                <w:sz w:val="20"/>
                <w:szCs w:val="20"/>
              </w:rPr>
              <w:t>N</w:t>
            </w:r>
            <w:r>
              <w:rPr>
                <w:rFonts w:ascii="Times New Roman" w:hAnsi="Times New Roman" w:cs="Times New Roman"/>
                <w:i/>
                <w:sz w:val="20"/>
                <w:szCs w:val="20"/>
                <w:vertAlign w:val="subscript"/>
              </w:rPr>
              <w:t>RB0</w:t>
            </w:r>
            <w:r>
              <w:rPr>
                <w:rFonts w:ascii="Times New Roman" w:hAnsi="Times New Roman" w:cs="Times New Roman"/>
                <w:sz w:val="20"/>
                <w:szCs w:val="20"/>
              </w:rPr>
              <w:t xml:space="preserve"> </w:t>
            </w:r>
            <w:r>
              <w:rPr>
                <w:rFonts w:ascii="Times New Roman" w:hAnsi="Times New Roman" w:cs="Times New Roman"/>
                <w:position w:val="-4"/>
                <w:sz w:val="20"/>
                <w:szCs w:val="20"/>
              </w:rPr>
              <w:object>
                <v:shape id="_x0000_i1026" o:spt="75" type="#_x0000_t75" style="height:14.65pt;width:7.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ascii="Times New Roman" w:hAnsi="Times New Roman" w:cs="Times New Roman"/>
                <w:sz w:val="20"/>
                <w:szCs w:val="20"/>
              </w:rPr>
              <w:t xml:space="preserve"> </w:t>
            </w:r>
            <w:r>
              <w:rPr>
                <w:rFonts w:ascii="Times New Roman" w:hAnsi="Times New Roman" w:cs="Times New Roman"/>
                <w:i/>
                <w:sz w:val="20"/>
                <w:szCs w:val="20"/>
              </w:rPr>
              <w:t>N</w:t>
            </w:r>
            <w:r>
              <w:rPr>
                <w:rFonts w:ascii="Times New Roman" w:hAnsi="Times New Roman" w:cs="Times New Roman"/>
                <w:i/>
                <w:sz w:val="20"/>
                <w:szCs w:val="20"/>
                <w:vertAlign w:val="subscript"/>
              </w:rPr>
              <w:t>RB</w:t>
            </w:r>
            <w:r>
              <w:rPr>
                <w:rFonts w:ascii="Times New Roman" w:hAnsi="Times New Roman" w:cs="Times New Roman"/>
                <w:sz w:val="20"/>
                <w:szCs w:val="20"/>
              </w:rPr>
              <w:t xml:space="preserve"> &lt; </w:t>
            </w:r>
            <w:r>
              <w:rPr>
                <w:rFonts w:ascii="Times New Roman" w:hAnsi="Times New Roman" w:cs="Times New Roman"/>
                <w:i/>
                <w:sz w:val="20"/>
                <w:szCs w:val="20"/>
              </w:rPr>
              <w:t>N</w:t>
            </w:r>
            <w:r>
              <w:rPr>
                <w:rFonts w:ascii="Times New Roman" w:hAnsi="Times New Roman" w:cs="Times New Roman"/>
                <w:i/>
                <w:sz w:val="20"/>
                <w:szCs w:val="20"/>
                <w:vertAlign w:val="subscript"/>
              </w:rPr>
              <w:t>RB1</w:t>
            </w:r>
          </w:p>
        </w:tc>
        <w:tc>
          <w:tcPr>
            <w:tcW w:w="2969" w:type="dxa"/>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color w:val="000000"/>
                <w:kern w:val="2"/>
                <w:sz w:val="20"/>
                <w:szCs w:val="20"/>
              </w:rPr>
            </w:pPr>
            <w:r>
              <w:rPr>
                <w:rFonts w:ascii="Times New Roman" w:hAnsi="Times New Roman" w:eastAsia="宋体" w:cs="Times New Roman"/>
                <w:color w:val="000000"/>
                <w:kern w:val="2"/>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snapToGrid w:val="0"/>
              <w:spacing w:before="100" w:beforeAutospacing="1" w:after="100" w:afterAutospacing="1" w:line="240" w:lineRule="auto"/>
              <w:jc w:val="center"/>
              <w:rPr>
                <w:rFonts w:ascii="Times New Roman" w:hAnsi="Times New Roman" w:cs="Times New Roman"/>
                <w:sz w:val="20"/>
                <w:szCs w:val="20"/>
              </w:rPr>
            </w:pPr>
            <w:r>
              <w:rPr>
                <w:rFonts w:ascii="Times New Roman" w:hAnsi="Times New Roman" w:cs="Times New Roman"/>
                <w:i/>
                <w:sz w:val="20"/>
                <w:szCs w:val="20"/>
              </w:rPr>
              <w:t>N</w:t>
            </w:r>
            <w:r>
              <w:rPr>
                <w:rFonts w:ascii="Times New Roman" w:hAnsi="Times New Roman" w:cs="Times New Roman"/>
                <w:i/>
                <w:sz w:val="20"/>
                <w:szCs w:val="20"/>
                <w:vertAlign w:val="subscript"/>
              </w:rPr>
              <w:t>RB1</w:t>
            </w:r>
            <w:r>
              <w:rPr>
                <w:rFonts w:ascii="Times New Roman" w:hAnsi="Times New Roman" w:cs="Times New Roman"/>
                <w:sz w:val="20"/>
                <w:szCs w:val="20"/>
              </w:rPr>
              <w:t xml:space="preserve"> </w:t>
            </w:r>
            <w:r>
              <w:rPr>
                <w:rFonts w:ascii="Times New Roman" w:hAnsi="Times New Roman" w:cs="Times New Roman"/>
                <w:position w:val="-4"/>
                <w:sz w:val="20"/>
                <w:szCs w:val="20"/>
              </w:rPr>
              <w:object>
                <v:shape id="_x0000_i1027" o:spt="75" type="#_x0000_t75" style="height:14.65pt;width:7.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2">
                  <o:LockedField>false</o:LockedField>
                </o:OLEObject>
              </w:object>
            </w:r>
            <w:r>
              <w:rPr>
                <w:rFonts w:ascii="Times New Roman" w:hAnsi="Times New Roman" w:cs="Times New Roman"/>
                <w:sz w:val="20"/>
                <w:szCs w:val="20"/>
              </w:rPr>
              <w:t xml:space="preserve"> </w:t>
            </w:r>
            <w:r>
              <w:rPr>
                <w:rFonts w:ascii="Times New Roman" w:hAnsi="Times New Roman" w:cs="Times New Roman"/>
                <w:i/>
                <w:sz w:val="20"/>
                <w:szCs w:val="20"/>
              </w:rPr>
              <w:t>N</w:t>
            </w:r>
            <w:r>
              <w:rPr>
                <w:rFonts w:ascii="Times New Roman" w:hAnsi="Times New Roman" w:cs="Times New Roman"/>
                <w:i/>
                <w:sz w:val="20"/>
                <w:szCs w:val="20"/>
                <w:vertAlign w:val="subscript"/>
              </w:rPr>
              <w:t>RB</w:t>
            </w:r>
          </w:p>
        </w:tc>
        <w:tc>
          <w:tcPr>
            <w:tcW w:w="2969" w:type="dxa"/>
          </w:tcPr>
          <w:p>
            <w:pPr>
              <w:keepNext/>
              <w:keepLines/>
              <w:tabs>
                <w:tab w:val="left" w:pos="851"/>
              </w:tabs>
              <w:snapToGrid w:val="0"/>
              <w:spacing w:before="100" w:beforeAutospacing="1" w:after="100" w:afterAutospacing="1" w:line="240" w:lineRule="auto"/>
              <w:ind w:left="851" w:hanging="851"/>
              <w:jc w:val="center"/>
              <w:rPr>
                <w:rFonts w:ascii="Times New Roman" w:hAnsi="Times New Roman" w:eastAsia="宋体" w:cs="Times New Roman"/>
                <w:color w:val="000000"/>
                <w:kern w:val="2"/>
                <w:sz w:val="20"/>
                <w:szCs w:val="20"/>
              </w:rPr>
            </w:pPr>
            <w:r>
              <w:rPr>
                <w:rFonts w:ascii="Times New Roman" w:hAnsi="Times New Roman" w:eastAsia="宋体" w:cs="Times New Roman"/>
                <w:color w:val="000000"/>
                <w:kern w:val="2"/>
                <w:sz w:val="20"/>
                <w:szCs w:val="20"/>
              </w:rPr>
              <w:t>4</w:t>
            </w:r>
          </w:p>
        </w:tc>
      </w:tr>
    </w:tbl>
    <w:p>
      <w:pPr>
        <w:widowControl w:val="0"/>
        <w:snapToGrid w:val="0"/>
        <w:spacing w:before="180" w:beforeLines="50" w:after="180" w:afterLines="50" w:line="240" w:lineRule="auto"/>
        <w:rPr>
          <w:rFonts w:ascii="Times New Roman" w:hAnsi="Times New Roman" w:eastAsia="宋体"/>
          <w:b/>
          <w:bCs/>
          <w:i/>
          <w:iCs/>
          <w:kern w:val="2"/>
          <w:sz w:val="20"/>
          <w:szCs w:val="20"/>
        </w:rPr>
      </w:pPr>
      <w:r>
        <w:rPr>
          <w:rFonts w:hint="eastAsia" w:ascii="Times New Roman" w:hAnsi="Times New Roman" w:eastAsia="宋体"/>
          <w:kern w:val="2"/>
          <w:sz w:val="20"/>
          <w:szCs w:val="20"/>
        </w:rPr>
        <w:t>Similarly</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 for RedCa</w:t>
      </w:r>
      <w:r>
        <w:rPr>
          <w:rFonts w:ascii="Times New Roman" w:hAnsi="Times New Roman" w:eastAsia="宋体"/>
          <w:kern w:val="2"/>
          <w:sz w:val="20"/>
          <w:szCs w:val="20"/>
        </w:rPr>
        <w:t>p</w:t>
      </w:r>
      <w:r>
        <w:rPr>
          <w:rFonts w:hint="eastAsia" w:ascii="Times New Roman" w:hAnsi="Times New Roman" w:eastAsia="宋体"/>
          <w:kern w:val="2"/>
          <w:sz w:val="20"/>
          <w:szCs w:val="20"/>
        </w:rPr>
        <w:t xml:space="preserve"> UE positioning with frequency hopping</w:t>
      </w:r>
      <w:r>
        <w:rPr>
          <w:rFonts w:ascii="Times New Roman" w:hAnsi="Times New Roman" w:eastAsia="宋体"/>
          <w:kern w:val="2"/>
          <w:sz w:val="20"/>
          <w:szCs w:val="20"/>
        </w:rPr>
        <w:t xml:space="preserve">, the overlapped frequency resource should be related to the bandwidth of </w:t>
      </w:r>
      <w:r>
        <w:rPr>
          <w:rFonts w:hint="eastAsia" w:ascii="Times New Roman" w:hAnsi="Times New Roman" w:eastAsia="宋体"/>
          <w:kern w:val="2"/>
          <w:sz w:val="20"/>
          <w:szCs w:val="20"/>
        </w:rPr>
        <w:t>each</w:t>
      </w:r>
      <w:r>
        <w:rPr>
          <w:rFonts w:ascii="Times New Roman" w:hAnsi="Times New Roman" w:eastAsia="宋体"/>
          <w:kern w:val="2"/>
          <w:sz w:val="20"/>
          <w:szCs w:val="20"/>
        </w:rPr>
        <w:t xml:space="preserve"> hop</w:t>
      </w:r>
      <w:r>
        <w:rPr>
          <w:rFonts w:hint="eastAsia" w:ascii="Times New Roman" w:hAnsi="Times New Roman" w:eastAsia="宋体"/>
          <w:kern w:val="2"/>
          <w:sz w:val="20"/>
          <w:szCs w:val="20"/>
        </w:rPr>
        <w:t>.</w:t>
      </w:r>
      <w:r>
        <w:rPr>
          <w:rFonts w:ascii="Times New Roman" w:hAnsi="Times New Roman" w:eastAsia="宋体"/>
          <w:kern w:val="2"/>
          <w:sz w:val="20"/>
          <w:szCs w:val="20"/>
        </w:rPr>
        <w:t xml:space="preserve"> For example, the overlapped </w:t>
      </w:r>
      <w:r>
        <w:rPr>
          <w:rFonts w:hint="eastAsia" w:ascii="Times New Roman" w:hAnsi="Times New Roman" w:eastAsia="宋体"/>
          <w:kern w:val="2"/>
          <w:sz w:val="20"/>
          <w:szCs w:val="20"/>
        </w:rPr>
        <w:t>P</w:t>
      </w:r>
      <w:r>
        <w:rPr>
          <w:rFonts w:ascii="Times New Roman" w:hAnsi="Times New Roman" w:eastAsia="宋体"/>
          <w:kern w:val="2"/>
          <w:sz w:val="20"/>
          <w:szCs w:val="20"/>
        </w:rPr>
        <w:t xml:space="preserve">RB for a RedCap UE with 20MHz bandwidth </w:t>
      </w:r>
      <w:r>
        <w:rPr>
          <w:rFonts w:hint="eastAsia" w:ascii="Times New Roman" w:hAnsi="Times New Roman" w:eastAsia="宋体"/>
          <w:kern w:val="2"/>
          <w:sz w:val="20"/>
          <w:szCs w:val="20"/>
        </w:rPr>
        <w:t xml:space="preserve">for each hop should be less than </w:t>
      </w:r>
      <w:r>
        <w:rPr>
          <w:rFonts w:ascii="Times New Roman" w:hAnsi="Times New Roman" w:eastAsia="宋体"/>
          <w:kern w:val="2"/>
          <w:sz w:val="20"/>
          <w:szCs w:val="20"/>
        </w:rPr>
        <w:t xml:space="preserve">that for a RedCap UE with 40MHz bandwidth </w:t>
      </w:r>
      <w:r>
        <w:rPr>
          <w:rFonts w:hint="eastAsia" w:ascii="Times New Roman" w:hAnsi="Times New Roman" w:eastAsia="宋体"/>
          <w:kern w:val="2"/>
          <w:sz w:val="20"/>
          <w:szCs w:val="20"/>
        </w:rPr>
        <w:t>for each hop</w:t>
      </w:r>
      <w:r>
        <w:rPr>
          <w:rFonts w:ascii="Times New Roman" w:hAnsi="Times New Roman" w:eastAsia="宋体"/>
          <w:kern w:val="2"/>
          <w:sz w:val="20"/>
          <w:szCs w:val="20"/>
        </w:rPr>
        <w:t>. Hence, we have the following proposal.</w:t>
      </w:r>
    </w:p>
    <w:p>
      <w:pPr>
        <w:keepNext w:val="0"/>
        <w:keepLines w:val="0"/>
        <w:pageBreakBefore w:val="0"/>
        <w:widowControl w:val="0"/>
        <w:kinsoku/>
        <w:wordWrap/>
        <w:topLinePunct w:val="0"/>
        <w:bidi w:val="0"/>
        <w:snapToGrid w:val="0"/>
        <w:spacing w:after="0" w:line="240" w:lineRule="auto"/>
        <w:rPr>
          <w:rFonts w:eastAsiaTheme="minorEastAsia"/>
          <w:i/>
          <w:sz w:val="20"/>
        </w:rPr>
      </w:pPr>
      <w:r>
        <w:rPr>
          <w:rFonts w:hint="eastAsia" w:ascii="Times New Roman" w:hAnsi="Times New Roman" w:eastAsia="宋体"/>
          <w:b/>
          <w:bCs/>
          <w:i/>
          <w:iCs/>
          <w:kern w:val="2"/>
          <w:sz w:val="20"/>
          <w:szCs w:val="20"/>
        </w:rPr>
        <w:t xml:space="preserve">Proposal 6: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with positioning</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S</w:t>
      </w:r>
      <w:r>
        <w:rPr>
          <w:rFonts w:hint="eastAsia" w:ascii="Times New Roman" w:hAnsi="Times New Roman" w:eastAsia="宋体"/>
          <w:bCs/>
          <w:i/>
          <w:iCs/>
          <w:kern w:val="2"/>
          <w:sz w:val="20"/>
          <w:szCs w:val="20"/>
        </w:rPr>
        <w:t>RS,</w:t>
      </w:r>
      <w:r>
        <w:rPr>
          <w:rFonts w:eastAsiaTheme="minorEastAsia"/>
          <w:i/>
          <w:sz w:val="20"/>
        </w:rPr>
        <w:t xml:space="preserve"> the number of overlapping PRBs in adjacent hops is based on the bandwidth of each hop</w:t>
      </w:r>
    </w:p>
    <w:p>
      <w:pPr>
        <w:pStyle w:val="89"/>
        <w:keepNext w:val="0"/>
        <w:keepLines w:val="0"/>
        <w:pageBreakBefore w:val="0"/>
        <w:widowControl w:val="0"/>
        <w:numPr>
          <w:ilvl w:val="0"/>
          <w:numId w:val="8"/>
        </w:numPr>
        <w:kinsoku/>
        <w:wordWrap/>
        <w:topLinePunct w:val="0"/>
        <w:bidi w:val="0"/>
        <w:snapToGrid w:val="0"/>
        <w:spacing w:after="0" w:line="240" w:lineRule="auto"/>
        <w:rPr>
          <w:rFonts w:eastAsiaTheme="minorEastAsia"/>
          <w:i/>
          <w:sz w:val="20"/>
        </w:rPr>
      </w:pPr>
      <w:r>
        <w:rPr>
          <w:rFonts w:eastAsiaTheme="minorEastAsia"/>
          <w:i/>
          <w:sz w:val="20"/>
        </w:rPr>
        <w:t>Larger bandwidth of each hop corresponds to more overlapped PRBs, the candidates of PRBs can be {1, 2, 4}</w:t>
      </w:r>
    </w:p>
    <w:p>
      <w:pPr>
        <w:adjustRightInd w:val="0"/>
        <w:snapToGrid w:val="0"/>
        <w:spacing w:before="180" w:beforeLines="50" w:after="180" w:afterLines="50"/>
        <w:jc w:val="both"/>
        <w:rPr>
          <w:rFonts w:ascii="Times New Roman" w:hAnsi="Times New Roman" w:eastAsia="宋体"/>
          <w:kern w:val="2"/>
          <w:sz w:val="20"/>
          <w:szCs w:val="20"/>
        </w:rPr>
      </w:pPr>
    </w:p>
    <w:p>
      <w:pPr>
        <w:pStyle w:val="3"/>
        <w:snapToGrid w:val="0"/>
        <w:spacing w:line="240" w:lineRule="auto"/>
        <w:rPr>
          <w:rFonts w:ascii="Arial" w:hAnsi="Arial" w:cs="Arial"/>
          <w:b/>
          <w:sz w:val="24"/>
          <w:szCs w:val="24"/>
        </w:rPr>
      </w:pPr>
      <w:r>
        <w:rPr>
          <w:rFonts w:ascii="Arial" w:hAnsi="Arial" w:cs="Arial"/>
          <w:b/>
          <w:sz w:val="24"/>
          <w:szCs w:val="24"/>
        </w:rPr>
        <w:t>3.3 Measurement and report for hopping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cs="Times New Roman"/>
                <w:b/>
                <w:bCs/>
                <w:sz w:val="20"/>
                <w:szCs w:val="20"/>
              </w:rPr>
            </w:pPr>
            <w:r>
              <w:rPr>
                <w:rFonts w:ascii="Times New Roman" w:hAnsi="Times New Roman" w:cs="Times New Roman" w:eastAsiaTheme="minorEastAsia"/>
                <w:b/>
                <w:sz w:val="20"/>
                <w:u w:val="single"/>
                <w:lang w:val="en-GB"/>
              </w:rPr>
              <w:t xml:space="preserve">(RAN1#112bis-e) </w:t>
            </w:r>
            <w:r>
              <w:rPr>
                <w:rFonts w:ascii="Times New Roman" w:hAnsi="Times New Roman" w:cs="Times New Roman"/>
                <w:b/>
                <w:bCs/>
                <w:sz w:val="20"/>
                <w:szCs w:val="20"/>
              </w:rPr>
              <w:t>Agreement</w:t>
            </w:r>
          </w:p>
          <w:p>
            <w:p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For DL Rx hopping or UL Tx hopping, support the UE or gNB to report the following:</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A single measurement based on receiving multiple hops of the DL PRS or UL SRS for positioning</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One [or more] measurements where each measurement is associated with one received hop</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FFS: indication of how many received hops / which received hops where used in the measurement report.</w:t>
            </w:r>
          </w:p>
          <w:p>
            <w:pPr>
              <w:numPr>
                <w:ilvl w:val="0"/>
                <w:numId w:val="7"/>
              </w:numPr>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Note: no new measurement definition is introduced in RAN1</w:t>
            </w:r>
          </w:p>
          <w:p>
            <w:pPr>
              <w:numPr>
                <w:ilvl w:val="0"/>
                <w:numId w:val="7"/>
              </w:numPr>
              <w:snapToGrid w:val="0"/>
              <w:spacing w:after="0" w:line="240" w:lineRule="auto"/>
              <w:jc w:val="both"/>
              <w:rPr>
                <w:rFonts w:cs="Times New Roman"/>
                <w:bCs/>
                <w:sz w:val="20"/>
                <w:szCs w:val="20"/>
              </w:rPr>
            </w:pPr>
            <w:r>
              <w:rPr>
                <w:rFonts w:ascii="Times New Roman" w:hAnsi="Times New Roman" w:cs="Times New Roman"/>
                <w:bCs/>
                <w:sz w:val="20"/>
                <w:szCs w:val="20"/>
              </w:rPr>
              <w:t>FFS: conditions when the above measurements are reported, and whether the above measurements can be reported together</w:t>
            </w:r>
          </w:p>
        </w:tc>
      </w:tr>
    </w:tbl>
    <w:p>
      <w:pPr>
        <w:widowControl w:val="0"/>
        <w:snapToGrid w:val="0"/>
        <w:spacing w:before="180" w:beforeLines="50" w:after="180" w:afterLines="50" w:line="240" w:lineRule="auto"/>
        <w:jc w:val="both"/>
        <w:rPr>
          <w:rFonts w:ascii="Times New Roman" w:hAnsi="Times New Roman" w:eastAsiaTheme="minorEastAsia"/>
          <w:sz w:val="20"/>
          <w:szCs w:val="20"/>
        </w:rPr>
      </w:pPr>
      <w:r>
        <w:rPr>
          <w:rFonts w:hint="eastAsia" w:ascii="Times New Roman" w:hAnsi="Times New Roman" w:eastAsiaTheme="minorEastAsia"/>
          <w:sz w:val="20"/>
          <w:szCs w:val="20"/>
        </w:rPr>
        <w:t>In some cases</w:t>
      </w:r>
      <w:r>
        <w:rPr>
          <w:rFonts w:ascii="Times New Roman" w:hAnsi="Times New Roman" w:eastAsiaTheme="minorEastAsia"/>
          <w:sz w:val="20"/>
          <w:szCs w:val="20"/>
        </w:rPr>
        <w:t xml:space="preserve">, one or more hops may be dropped (e.g., because of </w:t>
      </w:r>
      <w:r>
        <w:rPr>
          <w:rFonts w:hint="eastAsia" w:ascii="Times New Roman" w:hAnsi="Times New Roman" w:eastAsiaTheme="minorEastAsia"/>
          <w:sz w:val="20"/>
          <w:szCs w:val="20"/>
        </w:rPr>
        <w:t>collision with some other higher priority signals</w:t>
      </w:r>
      <w:r>
        <w:rPr>
          <w:rFonts w:ascii="Times New Roman" w:hAnsi="Times New Roman" w:eastAsiaTheme="minorEastAsia"/>
          <w:sz w:val="20"/>
          <w:szCs w:val="20"/>
        </w:rPr>
        <w:t>). For these cases, a combination of hop ID</w:t>
      </w:r>
      <w:r>
        <w:rPr>
          <w:rFonts w:hint="eastAsia" w:ascii="Times New Roman" w:hAnsi="Times New Roman" w:eastAsiaTheme="minorEastAsia"/>
          <w:sz w:val="20"/>
          <w:szCs w:val="20"/>
        </w:rPr>
        <w:t>s</w:t>
      </w:r>
      <w:r>
        <w:rPr>
          <w:rFonts w:ascii="Times New Roman" w:hAnsi="Times New Roman" w:eastAsiaTheme="minorEastAsia"/>
          <w:sz w:val="20"/>
          <w:szCs w:val="20"/>
        </w:rPr>
        <w:t xml:space="preserve"> (e.g., {{1}, {1,2}, {1,2,3}}) should be attached </w:t>
      </w:r>
      <w:r>
        <w:rPr>
          <w:rFonts w:hint="eastAsia" w:ascii="Times New Roman" w:hAnsi="Times New Roman" w:eastAsiaTheme="minorEastAsia"/>
          <w:sz w:val="20"/>
          <w:szCs w:val="20"/>
        </w:rPr>
        <w:t>in</w:t>
      </w:r>
      <w:r>
        <w:rPr>
          <w:rFonts w:ascii="Times New Roman" w:hAnsi="Times New Roman" w:eastAsiaTheme="minorEastAsia"/>
          <w:sz w:val="20"/>
          <w:szCs w:val="20"/>
        </w:rPr>
        <w:t xml:space="preserve"> a measurement result</w:t>
      </w:r>
      <w:r>
        <w:rPr>
          <w:rFonts w:hint="eastAsia" w:ascii="Times New Roman" w:hAnsi="Times New Roman" w:eastAsiaTheme="minorEastAsia"/>
          <w:sz w:val="20"/>
          <w:szCs w:val="20"/>
        </w:rPr>
        <w:t xml:space="preserve"> to ind</w:t>
      </w:r>
      <w:r>
        <w:rPr>
          <w:rFonts w:ascii="Times New Roman" w:hAnsi="Times New Roman" w:eastAsiaTheme="minorEastAsia"/>
          <w:sz w:val="20"/>
          <w:szCs w:val="20"/>
        </w:rPr>
        <w:t>i</w:t>
      </w:r>
      <w:r>
        <w:rPr>
          <w:rFonts w:hint="eastAsia" w:ascii="Times New Roman" w:hAnsi="Times New Roman" w:eastAsiaTheme="minorEastAsia"/>
          <w:sz w:val="20"/>
          <w:szCs w:val="20"/>
        </w:rPr>
        <w:t>cate LMF on which hop</w:t>
      </w:r>
      <w:r>
        <w:rPr>
          <w:rFonts w:ascii="Times New Roman" w:hAnsi="Times New Roman" w:eastAsiaTheme="minorEastAsia"/>
          <w:sz w:val="20"/>
          <w:szCs w:val="20"/>
        </w:rPr>
        <w:t>(</w:t>
      </w:r>
      <w:r>
        <w:rPr>
          <w:rFonts w:hint="eastAsia" w:ascii="Times New Roman" w:hAnsi="Times New Roman" w:eastAsiaTheme="minorEastAsia"/>
          <w:sz w:val="20"/>
          <w:szCs w:val="20"/>
        </w:rPr>
        <w:t>s</w:t>
      </w:r>
      <w:r>
        <w:rPr>
          <w:rFonts w:ascii="Times New Roman" w:hAnsi="Times New Roman" w:eastAsiaTheme="minorEastAsia"/>
          <w:sz w:val="20"/>
          <w:szCs w:val="20"/>
        </w:rPr>
        <w:t>)</w:t>
      </w:r>
      <w:r>
        <w:rPr>
          <w:rFonts w:hint="eastAsia" w:ascii="Times New Roman" w:hAnsi="Times New Roman" w:eastAsiaTheme="minorEastAsia"/>
          <w:sz w:val="20"/>
          <w:szCs w:val="20"/>
        </w:rPr>
        <w:t xml:space="preserve"> the measur</w:t>
      </w:r>
      <w:r>
        <w:rPr>
          <w:rFonts w:ascii="Times New Roman" w:hAnsi="Times New Roman" w:eastAsiaTheme="minorEastAsia"/>
          <w:sz w:val="20"/>
          <w:szCs w:val="20"/>
        </w:rPr>
        <w:t>e</w:t>
      </w:r>
      <w:r>
        <w:rPr>
          <w:rFonts w:hint="eastAsia" w:ascii="Times New Roman" w:hAnsi="Times New Roman" w:eastAsiaTheme="minorEastAsia"/>
          <w:sz w:val="20"/>
          <w:szCs w:val="20"/>
        </w:rPr>
        <w:t>ment result is</w:t>
      </w:r>
      <w:r>
        <w:rPr>
          <w:rFonts w:ascii="Times New Roman" w:hAnsi="Times New Roman" w:eastAsiaTheme="minorEastAsia"/>
          <w:sz w:val="20"/>
          <w:szCs w:val="20"/>
        </w:rPr>
        <w:t>/are</w:t>
      </w:r>
      <w:r>
        <w:rPr>
          <w:rFonts w:hint="eastAsia" w:ascii="Times New Roman" w:hAnsi="Times New Roman" w:eastAsiaTheme="minorEastAsia"/>
          <w:sz w:val="20"/>
          <w:szCs w:val="20"/>
        </w:rPr>
        <w:t xml:space="preserve"> based</w:t>
      </w:r>
      <w:r>
        <w:rPr>
          <w:rFonts w:ascii="Times New Roman" w:hAnsi="Times New Roman" w:eastAsiaTheme="minorEastAsia"/>
          <w:sz w:val="20"/>
          <w:szCs w:val="20"/>
        </w:rPr>
        <w:t>.</w:t>
      </w:r>
    </w:p>
    <w:p>
      <w:pPr>
        <w:widowControl w:val="0"/>
        <w:snapToGrid w:val="0"/>
        <w:spacing w:before="180" w:beforeLines="50" w:after="180" w:afterLines="50" w:line="240" w:lineRule="auto"/>
        <w:jc w:val="both"/>
        <w:rPr>
          <w:rFonts w:ascii="Times New Roman" w:hAnsi="Times New Roman" w:eastAsiaTheme="minorEastAsia"/>
          <w:sz w:val="20"/>
          <w:szCs w:val="20"/>
        </w:rPr>
      </w:pPr>
      <w:r>
        <w:rPr>
          <w:rFonts w:ascii="Times New Roman" w:hAnsi="Times New Roman" w:eastAsiaTheme="minorEastAsia"/>
          <w:sz w:val="20"/>
          <w:szCs w:val="20"/>
        </w:rPr>
        <w:t xml:space="preserve">Further in some </w:t>
      </w:r>
      <w:r>
        <w:rPr>
          <w:rFonts w:hint="eastAsia" w:ascii="Times New Roman" w:hAnsi="Times New Roman" w:eastAsiaTheme="minorEastAsia"/>
          <w:sz w:val="20"/>
          <w:szCs w:val="20"/>
        </w:rPr>
        <w:t>scenarios</w:t>
      </w:r>
      <w:r>
        <w:rPr>
          <w:rFonts w:ascii="Times New Roman" w:hAnsi="Times New Roman" w:eastAsiaTheme="minorEastAsia"/>
          <w:sz w:val="20"/>
          <w:szCs w:val="20"/>
        </w:rPr>
        <w:t xml:space="preserve">, one or more hops may have low channel quality (e.g., low SINR). The measurement result(s) on this/these hop(s) </w:t>
      </w:r>
      <w:r>
        <w:rPr>
          <w:rFonts w:hint="eastAsia" w:ascii="Times New Roman" w:hAnsi="Times New Roman" w:eastAsiaTheme="minorEastAsia"/>
          <w:sz w:val="20"/>
          <w:szCs w:val="20"/>
        </w:rPr>
        <w:t>may not</w:t>
      </w:r>
      <w:r>
        <w:rPr>
          <w:rFonts w:ascii="Times New Roman" w:hAnsi="Times New Roman" w:eastAsiaTheme="minorEastAsia"/>
          <w:sz w:val="20"/>
          <w:szCs w:val="20"/>
        </w:rPr>
        <w:t xml:space="preserve"> be reliable. That is, a concatenation of</w:t>
      </w:r>
      <w:r>
        <w:rPr>
          <w:rFonts w:hint="eastAsia" w:ascii="Times New Roman" w:hAnsi="Times New Roman" w:eastAsiaTheme="minorEastAsia"/>
          <w:sz w:val="20"/>
          <w:szCs w:val="20"/>
        </w:rPr>
        <w:t xml:space="preserve"> one</w:t>
      </w:r>
      <w:r>
        <w:rPr>
          <w:rFonts w:ascii="Times New Roman" w:hAnsi="Times New Roman" w:eastAsiaTheme="minorEastAsia"/>
          <w:sz w:val="20"/>
          <w:szCs w:val="20"/>
        </w:rPr>
        <w:t>/some hop(s) might not be helpful. Hence, we have the following proposal.</w:t>
      </w:r>
      <w:r>
        <w:rPr>
          <w:rFonts w:eastAsia="宋体"/>
          <w:bCs/>
          <w:iCs/>
          <w:sz w:val="20"/>
          <w:szCs w:val="20"/>
        </w:rPr>
        <w:t xml:space="preserve">In addition to the measurement result on </w:t>
      </w:r>
      <w:r>
        <w:rPr>
          <w:rFonts w:ascii="Times New Roman" w:hAnsi="Times New Roman" w:eastAsiaTheme="minorEastAsia"/>
          <w:sz w:val="20"/>
          <w:szCs w:val="20"/>
        </w:rPr>
        <w:t>a concatenation of</w:t>
      </w:r>
      <w:r>
        <w:rPr>
          <w:rFonts w:eastAsiaTheme="minorEastAsia"/>
          <w:sz w:val="20"/>
          <w:szCs w:val="20"/>
        </w:rPr>
        <w:t xml:space="preserve"> hops</w:t>
      </w:r>
      <w:r>
        <w:rPr>
          <w:rFonts w:eastAsia="宋体"/>
          <w:bCs/>
          <w:iCs/>
          <w:sz w:val="20"/>
          <w:szCs w:val="20"/>
        </w:rPr>
        <w:t xml:space="preserve">, other measurement result(s) on one single hop can be measured/report. For example, </w:t>
      </w:r>
      <w:r>
        <w:rPr>
          <w:rFonts w:ascii="Times New Roman" w:hAnsi="Times New Roman" w:eastAsiaTheme="minorEastAsia"/>
          <w:sz w:val="20"/>
          <w:szCs w:val="20"/>
        </w:rPr>
        <w:t xml:space="preserve">for a case with 5 hops, </w:t>
      </w:r>
      <w:r>
        <w:rPr>
          <w:rFonts w:eastAsiaTheme="minorEastAsia"/>
          <w:sz w:val="20"/>
          <w:szCs w:val="20"/>
        </w:rPr>
        <w:t xml:space="preserve">if </w:t>
      </w:r>
      <w:r>
        <w:rPr>
          <w:rFonts w:ascii="Times New Roman" w:hAnsi="Times New Roman" w:eastAsiaTheme="minorEastAsia"/>
          <w:sz w:val="20"/>
          <w:szCs w:val="20"/>
        </w:rPr>
        <w:t>the third hop is dropped while the other hops are still valid</w:t>
      </w:r>
      <w:r>
        <w:rPr>
          <w:rFonts w:eastAsiaTheme="minorEastAsia"/>
          <w:sz w:val="20"/>
          <w:szCs w:val="20"/>
        </w:rPr>
        <w:t xml:space="preserve">, then a </w:t>
      </w:r>
      <w:r>
        <w:rPr>
          <w:rFonts w:eastAsia="宋体"/>
          <w:bCs/>
          <w:iCs/>
          <w:sz w:val="20"/>
          <w:szCs w:val="20"/>
        </w:rPr>
        <w:t xml:space="preserve">measurement result on </w:t>
      </w:r>
      <w:r>
        <w:rPr>
          <w:rFonts w:ascii="Times New Roman" w:hAnsi="Times New Roman" w:eastAsiaTheme="minorEastAsia"/>
          <w:sz w:val="20"/>
          <w:szCs w:val="20"/>
        </w:rPr>
        <w:t xml:space="preserve">a </w:t>
      </w:r>
      <w:r>
        <w:rPr>
          <w:rFonts w:eastAsia="宋体"/>
          <w:bCs/>
          <w:iCs/>
          <w:sz w:val="20"/>
          <w:szCs w:val="20"/>
        </w:rPr>
        <w:t xml:space="preserve">single hop </w:t>
      </w:r>
      <w:r>
        <w:rPr>
          <w:rFonts w:hint="eastAsia" w:eastAsia="宋体"/>
          <w:bCs/>
          <w:iCs/>
          <w:sz w:val="20"/>
          <w:szCs w:val="20"/>
        </w:rPr>
        <w:t xml:space="preserve">selected </w:t>
      </w:r>
      <w:r>
        <w:rPr>
          <w:rFonts w:ascii="Times New Roman" w:hAnsi="Times New Roman" w:eastAsiaTheme="minorEastAsia"/>
          <w:sz w:val="20"/>
          <w:szCs w:val="20"/>
        </w:rPr>
        <w:t>from</w:t>
      </w:r>
      <w:r>
        <w:rPr>
          <w:rFonts w:hint="eastAsia" w:ascii="Times New Roman" w:hAnsi="Times New Roman" w:eastAsiaTheme="minorEastAsia"/>
          <w:sz w:val="20"/>
          <w:szCs w:val="20"/>
        </w:rPr>
        <w:t xml:space="preserve"> one of</w:t>
      </w:r>
      <w:r>
        <w:rPr>
          <w:rFonts w:eastAsiaTheme="minorEastAsia"/>
          <w:sz w:val="20"/>
          <w:szCs w:val="20"/>
        </w:rPr>
        <w:t xml:space="preserve"> </w:t>
      </w:r>
      <w:r>
        <w:rPr>
          <w:rFonts w:ascii="Times New Roman" w:hAnsi="Times New Roman" w:eastAsiaTheme="minorEastAsia"/>
          <w:sz w:val="20"/>
          <w:szCs w:val="20"/>
        </w:rPr>
        <w:t>{1,2,</w:t>
      </w:r>
      <w:r>
        <w:rPr>
          <w:rFonts w:eastAsiaTheme="minorEastAsia"/>
          <w:sz w:val="20"/>
          <w:szCs w:val="20"/>
        </w:rPr>
        <w:t>4,5}</w:t>
      </w:r>
      <w:r>
        <w:rPr>
          <w:rFonts w:eastAsia="宋体"/>
          <w:bCs/>
          <w:iCs/>
          <w:sz w:val="20"/>
          <w:szCs w:val="20"/>
        </w:rPr>
        <w:t xml:space="preserve"> can be measured/reported.</w:t>
      </w:r>
    </w:p>
    <w:p>
      <w:pPr>
        <w:pStyle w:val="49"/>
        <w:keepNext w:val="0"/>
        <w:keepLines w:val="0"/>
        <w:pageBreakBefore w:val="0"/>
        <w:widowControl w:val="0"/>
        <w:kinsoku/>
        <w:wordWrap/>
        <w:topLinePunct w:val="0"/>
        <w:bidi w:val="0"/>
        <w:snapToGrid w:val="0"/>
        <w:spacing w:after="0" w:line="240" w:lineRule="auto"/>
        <w:ind w:firstLine="0" w:firstLineChars="0"/>
        <w:rPr>
          <w:rFonts w:eastAsia="宋体"/>
          <w:bCs/>
          <w:i/>
          <w:iCs/>
          <w:sz w:val="20"/>
          <w:szCs w:val="20"/>
        </w:rPr>
      </w:pPr>
      <w:r>
        <w:rPr>
          <w:rFonts w:hint="eastAsia" w:eastAsia="宋体"/>
          <w:b/>
          <w:bCs/>
          <w:i/>
          <w:iCs/>
          <w:sz w:val="20"/>
          <w:szCs w:val="20"/>
        </w:rPr>
        <w:t xml:space="preserve">Proposal 7: </w:t>
      </w:r>
      <w:r>
        <w:rPr>
          <w:rFonts w:cs="Times New Roman"/>
          <w:bCs/>
          <w:i/>
          <w:sz w:val="20"/>
          <w:szCs w:val="20"/>
        </w:rPr>
        <w:t xml:space="preserve">For </w:t>
      </w:r>
      <w:r>
        <w:rPr>
          <w:rFonts w:hint="eastAsia" w:eastAsia="宋体" w:cs="Times New Roman"/>
          <w:bCs/>
          <w:i/>
          <w:sz w:val="20"/>
          <w:szCs w:val="20"/>
        </w:rPr>
        <w:t>U</w:t>
      </w:r>
      <w:r>
        <w:rPr>
          <w:rFonts w:cs="Times New Roman"/>
          <w:bCs/>
          <w:i/>
          <w:sz w:val="20"/>
          <w:szCs w:val="20"/>
        </w:rPr>
        <w:t xml:space="preserve">L </w:t>
      </w:r>
      <w:r>
        <w:rPr>
          <w:rFonts w:hint="eastAsia" w:eastAsia="宋体" w:cs="Times New Roman"/>
          <w:bCs/>
          <w:i/>
          <w:sz w:val="20"/>
          <w:szCs w:val="20"/>
        </w:rPr>
        <w:t>T</w:t>
      </w:r>
      <w:r>
        <w:rPr>
          <w:rFonts w:cs="Times New Roman"/>
          <w:bCs/>
          <w:i/>
          <w:sz w:val="20"/>
          <w:szCs w:val="20"/>
        </w:rPr>
        <w:t xml:space="preserve">x hopping, support </w:t>
      </w:r>
      <w:r>
        <w:rPr>
          <w:rFonts w:hint="eastAsia" w:eastAsia="宋体" w:cs="Times New Roman"/>
          <w:bCs/>
          <w:i/>
          <w:sz w:val="20"/>
          <w:szCs w:val="20"/>
        </w:rPr>
        <w:t>TRP</w:t>
      </w:r>
      <w:r>
        <w:rPr>
          <w:rFonts w:cs="Times New Roman"/>
          <w:bCs/>
          <w:i/>
          <w:sz w:val="20"/>
          <w:szCs w:val="20"/>
        </w:rPr>
        <w:t xml:space="preserve"> to report either</w:t>
      </w:r>
      <w:r>
        <w:rPr>
          <w:rFonts w:eastAsia="宋体"/>
          <w:bCs/>
          <w:i/>
          <w:iCs/>
          <w:sz w:val="20"/>
          <w:szCs w:val="20"/>
        </w:rPr>
        <w:t>.</w:t>
      </w:r>
    </w:p>
    <w:p>
      <w:pPr>
        <w:pStyle w:val="89"/>
        <w:keepNext w:val="0"/>
        <w:keepLines w:val="0"/>
        <w:pageBreakBefore w:val="0"/>
        <w:widowControl w:val="0"/>
        <w:numPr>
          <w:ilvl w:val="0"/>
          <w:numId w:val="8"/>
        </w:numPr>
        <w:kinsoku/>
        <w:wordWrap/>
        <w:topLinePunct w:val="0"/>
        <w:bidi w:val="0"/>
        <w:snapToGrid w:val="0"/>
        <w:spacing w:after="0" w:line="240" w:lineRule="auto"/>
        <w:rPr>
          <w:rFonts w:eastAsiaTheme="minorEastAsia"/>
          <w:i/>
          <w:sz w:val="20"/>
        </w:rPr>
      </w:pPr>
      <w:r>
        <w:rPr>
          <w:rFonts w:eastAsiaTheme="minorEastAsia"/>
          <w:i/>
          <w:sz w:val="20"/>
        </w:rPr>
        <w:t>A single measurement based on received multiple hops of</w:t>
      </w:r>
      <w:r>
        <w:rPr>
          <w:rFonts w:hint="eastAsia" w:eastAsiaTheme="minorEastAsia"/>
          <w:i/>
          <w:sz w:val="20"/>
          <w:lang w:eastAsia="zh-CN"/>
        </w:rPr>
        <w:t xml:space="preserve"> SRS</w:t>
      </w:r>
      <w:r>
        <w:rPr>
          <w:rFonts w:eastAsiaTheme="minorEastAsia"/>
          <w:i/>
          <w:sz w:val="20"/>
          <w:lang w:eastAsia="zh-CN"/>
        </w:rPr>
        <w:t>.</w:t>
      </w:r>
    </w:p>
    <w:p>
      <w:pPr>
        <w:pStyle w:val="89"/>
        <w:keepNext w:val="0"/>
        <w:keepLines w:val="0"/>
        <w:pageBreakBefore w:val="0"/>
        <w:widowControl w:val="0"/>
        <w:numPr>
          <w:ilvl w:val="1"/>
          <w:numId w:val="8"/>
        </w:numPr>
        <w:kinsoku/>
        <w:wordWrap/>
        <w:topLinePunct w:val="0"/>
        <w:bidi w:val="0"/>
        <w:snapToGrid w:val="0"/>
        <w:spacing w:after="0" w:line="240" w:lineRule="auto"/>
        <w:rPr>
          <w:rFonts w:eastAsiaTheme="minorEastAsia"/>
          <w:i/>
          <w:sz w:val="20"/>
        </w:rPr>
      </w:pPr>
      <w:r>
        <w:rPr>
          <w:rFonts w:hint="eastAsia" w:eastAsiaTheme="minorEastAsia"/>
          <w:i/>
          <w:sz w:val="20"/>
          <w:lang w:eastAsia="zh-CN"/>
        </w:rPr>
        <w:t>The corresponding hop indications should be reported as well</w:t>
      </w:r>
    </w:p>
    <w:p>
      <w:pPr>
        <w:pStyle w:val="89"/>
        <w:keepNext w:val="0"/>
        <w:keepLines w:val="0"/>
        <w:pageBreakBefore w:val="0"/>
        <w:widowControl w:val="0"/>
        <w:numPr>
          <w:ilvl w:val="0"/>
          <w:numId w:val="8"/>
        </w:numPr>
        <w:kinsoku/>
        <w:wordWrap/>
        <w:topLinePunct w:val="0"/>
        <w:bidi w:val="0"/>
        <w:snapToGrid w:val="0"/>
        <w:spacing w:after="0" w:line="240" w:lineRule="auto"/>
        <w:rPr>
          <w:rFonts w:eastAsiaTheme="minorEastAsia"/>
          <w:i/>
          <w:sz w:val="20"/>
        </w:rPr>
      </w:pPr>
      <w:r>
        <w:rPr>
          <w:rFonts w:eastAsiaTheme="minorEastAsia"/>
          <w:i/>
          <w:sz w:val="20"/>
        </w:rPr>
        <w:t>One single measurement which is associated with one received hop.</w:t>
      </w:r>
    </w:p>
    <w:p>
      <w:pPr>
        <w:pStyle w:val="89"/>
        <w:keepNext w:val="0"/>
        <w:keepLines w:val="0"/>
        <w:pageBreakBefore w:val="0"/>
        <w:widowControl w:val="0"/>
        <w:numPr>
          <w:ilvl w:val="1"/>
          <w:numId w:val="8"/>
        </w:numPr>
        <w:kinsoku/>
        <w:wordWrap/>
        <w:topLinePunct w:val="0"/>
        <w:bidi w:val="0"/>
        <w:snapToGrid w:val="0"/>
        <w:spacing w:after="0" w:line="240" w:lineRule="auto"/>
        <w:rPr>
          <w:rFonts w:eastAsiaTheme="minorEastAsia"/>
          <w:i/>
          <w:sz w:val="20"/>
        </w:rPr>
      </w:pPr>
      <w:r>
        <w:rPr>
          <w:rFonts w:hint="eastAsia" w:eastAsiaTheme="minorEastAsia"/>
          <w:i/>
          <w:sz w:val="20"/>
          <w:lang w:eastAsia="zh-CN"/>
        </w:rPr>
        <w:t>The hop indication should be reported as well</w:t>
      </w:r>
    </w:p>
    <w:p>
      <w:pPr>
        <w:pStyle w:val="49"/>
        <w:snapToGrid w:val="0"/>
        <w:spacing w:before="180" w:beforeLines="50" w:after="180" w:afterLines="50" w:line="240" w:lineRule="auto"/>
        <w:ind w:firstLine="0" w:firstLineChars="0"/>
        <w:rPr>
          <w:rFonts w:eastAsia="宋体"/>
          <w:bCs/>
          <w:iCs/>
          <w:sz w:val="20"/>
          <w:szCs w:val="20"/>
        </w:rPr>
      </w:pPr>
    </w:p>
    <w:p>
      <w:pPr>
        <w:pStyle w:val="3"/>
        <w:snapToGrid w:val="0"/>
        <w:spacing w:line="240" w:lineRule="auto"/>
        <w:rPr>
          <w:rFonts w:ascii="Arial" w:hAnsi="Arial" w:cs="Arial"/>
          <w:b/>
          <w:sz w:val="24"/>
          <w:szCs w:val="24"/>
        </w:rPr>
      </w:pPr>
      <w:r>
        <w:rPr>
          <w:rFonts w:ascii="Arial" w:hAnsi="Arial" w:cs="Arial"/>
          <w:b/>
          <w:sz w:val="24"/>
          <w:szCs w:val="24"/>
        </w:rPr>
        <w:t xml:space="preserve">3.4 UL time window </w:t>
      </w:r>
      <w:r>
        <w:rPr>
          <w:rFonts w:ascii="Arial" w:hAnsi="Arial" w:cs="Arial"/>
          <w:b/>
          <w:i/>
          <w:sz w:val="24"/>
          <w:szCs w:val="24"/>
        </w:rPr>
        <w:t>vs</w:t>
      </w:r>
      <w:r>
        <w:rPr>
          <w:rFonts w:ascii="Arial" w:hAnsi="Arial" w:cs="Arial"/>
          <w:b/>
          <w:sz w:val="24"/>
          <w:szCs w:val="24"/>
        </w:rPr>
        <w:t xml:space="preserve"> collision rule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cs="Times New Roman"/>
                <w:b/>
                <w:color w:val="000000"/>
                <w:sz w:val="20"/>
                <w:u w:val="single"/>
                <w:lang w:val="en-GB" w:eastAsia="en-US"/>
              </w:rPr>
            </w:pPr>
            <w:r>
              <w:rPr>
                <w:rFonts w:ascii="Times New Roman" w:hAnsi="Times New Roman" w:cs="Times New Roman" w:eastAsiaTheme="minorEastAsia"/>
                <w:b/>
                <w:color w:val="000000"/>
                <w:sz w:val="20"/>
                <w:u w:val="single"/>
                <w:lang w:val="en-GB"/>
              </w:rPr>
              <w:t xml:space="preserve">(RAN1#112bis-e) </w:t>
            </w:r>
            <w:r>
              <w:rPr>
                <w:rFonts w:ascii="Times New Roman" w:hAnsi="Times New Roman" w:cs="Times New Roman"/>
                <w:b/>
                <w:color w:val="000000"/>
                <w:sz w:val="20"/>
                <w:u w:val="single"/>
                <w:lang w:val="en-GB" w:eastAsia="en-US"/>
              </w:rPr>
              <w:t>Agreement</w:t>
            </w:r>
          </w:p>
          <w:p>
            <w:pPr>
              <w:snapToGrid w:val="0"/>
              <w:spacing w:after="0" w:line="240" w:lineRule="auto"/>
              <w:rPr>
                <w:rFonts w:ascii="Times New Roman" w:hAnsi="Times New Roman" w:eastAsia="MS Mincho" w:cs="Times New Roman"/>
                <w:sz w:val="20"/>
                <w:lang w:val="en-GB" w:eastAsia="ja-JP"/>
              </w:rPr>
            </w:pPr>
            <w:r>
              <w:rPr>
                <w:rFonts w:ascii="Times New Roman" w:hAnsi="Times New Roman" w:eastAsia="MS Mincho" w:cs="Times New Roman"/>
                <w:sz w:val="20"/>
                <w:lang w:val="en-GB"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pPr>
              <w:numPr>
                <w:ilvl w:val="0"/>
                <w:numId w:val="5"/>
              </w:numPr>
              <w:snapToGrid w:val="0"/>
              <w:spacing w:after="0" w:line="240" w:lineRule="auto"/>
              <w:rPr>
                <w:rFonts w:ascii="Times New Roman" w:hAnsi="Times New Roman" w:cs="Times New Roman"/>
                <w:sz w:val="20"/>
                <w:lang w:val="en-GB" w:eastAsia="ja-JP"/>
              </w:rPr>
            </w:pPr>
            <w:r>
              <w:rPr>
                <w:rFonts w:ascii="Times New Roman" w:hAnsi="Times New Roman" w:cs="Times New Roman"/>
                <w:sz w:val="20"/>
                <w:lang w:val="en-GB" w:eastAsia="ja-JP"/>
              </w:rPr>
              <w:t>Option 1: UL time window where the UE is not expected to receive/transmit other signals/channels and is only expected to transmit FH SRS for positioning.</w:t>
            </w:r>
          </w:p>
          <w:p>
            <w:pPr>
              <w:numPr>
                <w:ilvl w:val="1"/>
                <w:numId w:val="5"/>
              </w:numPr>
              <w:snapToGrid w:val="0"/>
              <w:spacing w:after="0" w:line="240" w:lineRule="auto"/>
              <w:rPr>
                <w:rFonts w:ascii="Times New Roman" w:hAnsi="Times New Roman" w:cs="Times New Roman"/>
                <w:sz w:val="20"/>
                <w:lang w:val="en-GB" w:eastAsia="ja-JP"/>
              </w:rPr>
            </w:pPr>
            <w:r>
              <w:rPr>
                <w:rFonts w:ascii="Times New Roman" w:hAnsi="Times New Roman" w:cs="Times New Roman"/>
                <w:sz w:val="20"/>
                <w:lang w:val="en-GB" w:eastAsia="ja-JP"/>
              </w:rPr>
              <w:t>FFS details of an UL time window</w:t>
            </w:r>
          </w:p>
          <w:p>
            <w:pPr>
              <w:numPr>
                <w:ilvl w:val="1"/>
                <w:numId w:val="5"/>
              </w:numPr>
              <w:snapToGrid w:val="0"/>
              <w:spacing w:after="0" w:line="240" w:lineRule="auto"/>
              <w:rPr>
                <w:rFonts w:ascii="Times New Roman" w:hAnsi="Times New Roman" w:cs="Times New Roman"/>
                <w:sz w:val="20"/>
                <w:lang w:val="en-GB" w:eastAsia="ja-JP"/>
              </w:rPr>
            </w:pPr>
            <w:r>
              <w:rPr>
                <w:rFonts w:ascii="Times New Roman" w:hAnsi="Times New Roman" w:cs="Times New Roman"/>
                <w:sz w:val="20"/>
                <w:lang w:val="en-GB" w:eastAsia="ja-JP"/>
              </w:rPr>
              <w:t>Note: it implies that UE drops the transmission of other signals/channels and transmits SRS for positioning</w:t>
            </w:r>
          </w:p>
          <w:p>
            <w:pPr>
              <w:numPr>
                <w:ilvl w:val="0"/>
                <w:numId w:val="5"/>
              </w:numPr>
              <w:snapToGrid w:val="0"/>
              <w:spacing w:after="0" w:line="240" w:lineRule="auto"/>
              <w:rPr>
                <w:rFonts w:ascii="Times New Roman" w:hAnsi="Times New Roman" w:cs="Times New Roman"/>
                <w:sz w:val="20"/>
                <w:lang w:val="en-GB" w:eastAsia="ja-JP"/>
              </w:rPr>
            </w:pPr>
            <w:r>
              <w:rPr>
                <w:rFonts w:ascii="Times New Roman" w:hAnsi="Times New Roman" w:cs="Times New Roman"/>
                <w:sz w:val="20"/>
                <w:lang w:val="en-GB" w:eastAsia="ja-JP"/>
              </w:rPr>
              <w:t xml:space="preserve">Option 2: additional collision rules between the UL SRS with frequency hopping and other UL and DL signals/channels </w:t>
            </w:r>
          </w:p>
          <w:p>
            <w:pPr>
              <w:numPr>
                <w:ilvl w:val="1"/>
                <w:numId w:val="5"/>
              </w:numPr>
              <w:snapToGrid w:val="0"/>
              <w:spacing w:after="0" w:line="240" w:lineRule="auto"/>
              <w:rPr>
                <w:rFonts w:cs="Times New Roman"/>
                <w:sz w:val="20"/>
                <w:lang w:val="en-GB" w:eastAsia="ja-JP"/>
              </w:rPr>
            </w:pPr>
            <w:r>
              <w:rPr>
                <w:rFonts w:cs="Times New Roman"/>
                <w:sz w:val="20"/>
                <w:lang w:val="en-GB" w:eastAsia="ja-JP"/>
              </w:rPr>
              <w:t>FFS: details on the collision rules</w:t>
            </w:r>
          </w:p>
        </w:tc>
      </w:tr>
    </w:tbl>
    <w:p>
      <w:pPr>
        <w:snapToGrid w:val="0"/>
        <w:spacing w:before="180" w:beforeLines="50" w:after="180" w:afterLines="50"/>
        <w:jc w:val="both"/>
        <w:rPr>
          <w:rFonts w:ascii="Times New Roman" w:hAnsi="Times New Roman" w:eastAsia="宋体" w:cs="Times New Roman"/>
          <w:sz w:val="20"/>
          <w:szCs w:val="20"/>
        </w:rPr>
      </w:pPr>
      <w:bookmarkStart w:id="13" w:name="_GoBack"/>
      <w:bookmarkEnd w:id="13"/>
      <w:r>
        <w:rPr>
          <w:rFonts w:hint="eastAsia" w:ascii="Times New Roman" w:hAnsi="Times New Roman"/>
          <w:sz w:val="20"/>
          <w:szCs w:val="20"/>
        </w:rPr>
        <w:t>In current 38.214 for UE in RRC connected state, there are some rules defined for the collision between SRS and SRS/PUCCH/PUSCH. The corresponding texts are abstracted in the below box.</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rFonts w:ascii="Times New Roman" w:hAnsi="Times New Roman"/>
                <w:b/>
                <w:bCs/>
                <w:sz w:val="20"/>
                <w:szCs w:val="20"/>
                <w:u w:val="single"/>
              </w:rPr>
            </w:pPr>
            <w:r>
              <w:rPr>
                <w:rFonts w:hint="eastAsia" w:ascii="Times New Roman" w:hAnsi="Times New Roman"/>
                <w:b/>
                <w:bCs/>
                <w:sz w:val="20"/>
                <w:szCs w:val="20"/>
                <w:u w:val="single"/>
              </w:rPr>
              <w:t>TS 38.214:</w:t>
            </w:r>
          </w:p>
          <w:p>
            <w:pPr>
              <w:snapToGrid w:val="0"/>
              <w:spacing w:before="180" w:beforeLines="50" w:after="180" w:afterLines="50"/>
              <w:rPr>
                <w:rFonts w:ascii="Times New Roman" w:hAnsi="Times New Roman"/>
                <w:sz w:val="20"/>
                <w:szCs w:val="20"/>
              </w:rPr>
            </w:pPr>
            <w:r>
              <w:rPr>
                <w:rFonts w:ascii="Times New Roman" w:hAnsi="Times New Roman"/>
                <w:sz w:val="20"/>
                <w:szCs w:val="20"/>
              </w:rPr>
              <w:t>If a PUSCH transmission with a priority index 1 or a PUCCH transmission with a priority index 1 would overlap in time with an SRS transmission on a serving cell, the UE does not transmit the SRS in the overlapping symbol(s).</w:t>
            </w:r>
          </w:p>
          <w:p>
            <w:pPr>
              <w:snapToGrid w:val="0"/>
              <w:spacing w:before="180" w:beforeLines="50" w:after="180" w:afterLines="50"/>
              <w:rPr>
                <w:rFonts w:ascii="Times New Roman" w:hAnsi="Times New Roman"/>
                <w:sz w:val="20"/>
                <w:szCs w:val="20"/>
              </w:rPr>
            </w:pPr>
            <w:bookmarkStart w:id="8" w:name="_Hlk498636457"/>
            <w:r>
              <w:rPr>
                <w:rFonts w:hint="eastAsia" w:ascii="Times New Roman" w:hAnsi="Times New Roman"/>
                <w:sz w:val="20"/>
                <w:szCs w:val="20"/>
              </w:rPr>
              <w:t>...</w:t>
            </w:r>
            <w:bookmarkEnd w:id="8"/>
          </w:p>
          <w:p>
            <w:pPr>
              <w:snapToGrid w:val="0"/>
              <w:spacing w:before="180" w:beforeLines="50" w:after="180" w:afterLines="50"/>
              <w:rPr>
                <w:rFonts w:ascii="Times New Roman" w:hAnsi="Times New Roman"/>
                <w:sz w:val="20"/>
                <w:szCs w:val="20"/>
              </w:rPr>
            </w:pPr>
            <w:r>
              <w:rPr>
                <w:rFonts w:ascii="Times New Roman" w:hAnsi="Times New Roman"/>
                <w:sz w:val="20"/>
                <w:szCs w:val="20"/>
              </w:rPr>
              <w:t xml:space="preserve">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pPr>
              <w:snapToGrid w:val="0"/>
              <w:spacing w:before="180" w:beforeLines="50" w:after="180" w:afterLines="50"/>
              <w:rPr>
                <w:rFonts w:ascii="Times New Roman" w:hAnsi="Times New Roman"/>
                <w:sz w:val="20"/>
                <w:szCs w:val="20"/>
              </w:rPr>
            </w:pPr>
            <w:r>
              <w:rPr>
                <w:rFonts w:ascii="Times New Roman" w:hAnsi="Times New Roman"/>
                <w:sz w:val="20"/>
                <w:szCs w:val="20"/>
              </w:rPr>
              <w:t>…</w:t>
            </w:r>
          </w:p>
          <w:p>
            <w:pPr>
              <w:widowControl w:val="0"/>
              <w:snapToGrid w:val="0"/>
              <w:spacing w:before="180" w:beforeLines="50" w:after="180" w:afterLines="50"/>
              <w:rPr>
                <w:rFonts w:ascii="Times New Roman" w:hAnsi="Times New Roman" w:eastAsia="宋体"/>
                <w:sz w:val="20"/>
                <w:szCs w:val="20"/>
              </w:rPr>
            </w:pPr>
            <w:bookmarkStart w:id="9" w:name="_Hlk523498144"/>
            <w:r>
              <w:rPr>
                <w:rFonts w:ascii="Times New Roman" w:hAnsi="Times New Roman"/>
                <w:sz w:val="20"/>
                <w:szCs w:val="20"/>
              </w:rPr>
              <w:t xml:space="preserve">In case a SRS resource with </w:t>
            </w:r>
            <w:bookmarkEnd w:id="9"/>
            <w:r>
              <w:rPr>
                <w:rFonts w:ascii="Times New Roman" w:hAnsi="Times New Roman"/>
                <w:i/>
                <w:sz w:val="20"/>
                <w:szCs w:val="20"/>
              </w:rPr>
              <w:t>resourceType</w:t>
            </w:r>
            <w:r>
              <w:rPr>
                <w:rFonts w:ascii="Times New Roman" w:hAnsi="Times New Roman"/>
                <w:sz w:val="20"/>
                <w:szCs w:val="20"/>
              </w:rPr>
              <w:t xml:space="preserve"> set as 'aperiodic' is triggered on the OFDM symbol(s) configured with periodic/semi-persistent SRS transmission,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w:t>
            </w:r>
            <w:r>
              <w:rPr>
                <w:rFonts w:ascii="Times New Roman" w:hAnsi="Times New Roman"/>
                <w:i/>
                <w:sz w:val="20"/>
                <w:szCs w:val="20"/>
              </w:rPr>
              <w:t>resourceType</w:t>
            </w:r>
            <w:r>
              <w:rPr>
                <w:rFonts w:ascii="Times New Roman" w:hAnsi="Times New Roman"/>
                <w:sz w:val="20"/>
                <w:szCs w:val="20"/>
              </w:rPr>
              <w:t xml:space="preserve"> set as 'semi-persistent' is triggered on the OFDM symbol(s) configured with periodic SRS transmission, the UE shall transmit the semi-persistent SRS resource and only the periodic SRS symbol(s) overlapping within the symbol(s) are dropped, while the periodic SRS symbol(s) that are not overlapped with the semi-persistent SRS resource are transmitted. </w:t>
            </w:r>
          </w:p>
          <w:p>
            <w:pPr>
              <w:snapToGrid w:val="0"/>
              <w:spacing w:before="180" w:beforeLines="50" w:after="180" w:afterLines="50"/>
              <w:jc w:val="both"/>
              <w:rPr>
                <w:rFonts w:ascii="Times New Roman" w:hAnsi="Times New Roman"/>
                <w:sz w:val="20"/>
                <w:szCs w:val="20"/>
              </w:rPr>
            </w:pPr>
            <w:r>
              <w:rPr>
                <w:rFonts w:ascii="Times New Roman" w:hAnsi="Times New Roman"/>
                <w:sz w:val="20"/>
                <w:szCs w:val="20"/>
              </w:rPr>
              <w:t>...</w:t>
            </w:r>
          </w:p>
          <w:p>
            <w:pPr>
              <w:snapToGrid w:val="0"/>
              <w:spacing w:before="180" w:beforeLines="50" w:after="180" w:afterLines="50"/>
              <w:rPr>
                <w:rFonts w:ascii="Times New Roman" w:hAnsi="Times New Roman"/>
                <w:sz w:val="20"/>
                <w:szCs w:val="20"/>
              </w:rPr>
            </w:pPr>
            <w:r>
              <w:rPr>
                <w:rFonts w:ascii="Times New Roman" w:hAnsi="Times New Roman"/>
                <w:sz w:val="20"/>
                <w:szCs w:val="20"/>
              </w:rPr>
              <w:t xml:space="preserve">For operation on the same carrier, if an SRS configured by the higher parameter </w:t>
            </w:r>
            <w:r>
              <w:rPr>
                <w:rFonts w:ascii="Times New Roman" w:hAnsi="Times New Roman"/>
                <w:i/>
                <w:iCs/>
                <w:sz w:val="20"/>
                <w:szCs w:val="20"/>
              </w:rPr>
              <w:t xml:space="preserve">SRS-PosResource </w:t>
            </w:r>
            <w:r>
              <w:rPr>
                <w:rFonts w:ascii="Times New Roman" w:hAnsi="Times New Roman"/>
                <w:sz w:val="20"/>
                <w:szCs w:val="20"/>
              </w:rPr>
              <w:t xml:space="preserve">collides with a scheduled PUSCH, the SRS is dropped in the symbols where the collision occurs. </w:t>
            </w:r>
          </w:p>
        </w:tc>
      </w:tr>
    </w:tbl>
    <w:p>
      <w:pPr>
        <w:pStyle w:val="49"/>
        <w:snapToGrid w:val="0"/>
        <w:spacing w:before="180" w:beforeLines="50" w:after="180" w:afterLines="50" w:line="240" w:lineRule="auto"/>
        <w:ind w:firstLine="0" w:firstLineChars="0"/>
        <w:rPr>
          <w:rFonts w:eastAsiaTheme="minorEastAsia"/>
          <w:sz w:val="20"/>
          <w:szCs w:val="20"/>
        </w:rPr>
      </w:pPr>
      <w:r>
        <w:rPr>
          <w:rFonts w:eastAsiaTheme="minorEastAsia"/>
          <w:sz w:val="20"/>
          <w:szCs w:val="20"/>
        </w:rPr>
        <w:t xml:space="preserve">For Redcap UE with </w:t>
      </w:r>
      <w:r>
        <w:rPr>
          <w:rFonts w:hint="eastAsia" w:eastAsiaTheme="minorEastAsia"/>
          <w:sz w:val="20"/>
          <w:szCs w:val="20"/>
        </w:rPr>
        <w:t>SRS</w:t>
      </w:r>
      <w:r>
        <w:rPr>
          <w:rFonts w:eastAsiaTheme="minorEastAsia"/>
          <w:sz w:val="20"/>
          <w:szCs w:val="20"/>
        </w:rPr>
        <w:t xml:space="preserve"> Tx hopping, if the SRS hop is within the initial BWP, the above dropping rule can be completely reused. Otherwise, if the SRS hop is outside the initial BWP, we think the rule defined in Rel-17 for RRC_INACTICE state outside initial BWP can be reused, i.e. SRS is lower priority.</w:t>
      </w:r>
    </w:p>
    <w:p>
      <w:pPr>
        <w:pStyle w:val="49"/>
        <w:keepNext w:val="0"/>
        <w:keepLines w:val="0"/>
        <w:pageBreakBefore w:val="0"/>
        <w:widowControl w:val="0"/>
        <w:kinsoku/>
        <w:wordWrap/>
        <w:overflowPunct/>
        <w:topLinePunct w:val="0"/>
        <w:autoSpaceDE/>
        <w:autoSpaceDN/>
        <w:bidi w:val="0"/>
        <w:adjustRightInd/>
        <w:snapToGrid w:val="0"/>
        <w:spacing w:after="0" w:line="240" w:lineRule="auto"/>
        <w:ind w:firstLine="0" w:firstLineChars="0"/>
        <w:textAlignment w:val="auto"/>
        <w:rPr>
          <w:rFonts w:eastAsia="MS Mincho" w:cs="Times New Roman"/>
          <w:i/>
          <w:sz w:val="20"/>
          <w:lang w:val="en-GB" w:eastAsia="ja-JP"/>
        </w:rPr>
      </w:pPr>
      <w:r>
        <w:rPr>
          <w:rFonts w:hint="eastAsia" w:eastAsia="宋体"/>
          <w:b/>
          <w:bCs/>
          <w:i/>
          <w:iCs/>
          <w:sz w:val="20"/>
          <w:szCs w:val="20"/>
        </w:rPr>
        <w:t xml:space="preserve">Proposal 8: </w:t>
      </w:r>
      <w:r>
        <w:rPr>
          <w:rFonts w:eastAsia="MS Mincho" w:cs="Times New Roman"/>
          <w:i/>
          <w:sz w:val="20"/>
          <w:lang w:val="en-GB" w:eastAsia="ja-JP"/>
        </w:rPr>
        <w:t xml:space="preserve">For RedCap UEs positioning transmitting the UL SRS with frequency hopping, regarding the collisions between other UL and DL signals/channels and the UL SRS with frequency hopping, </w:t>
      </w:r>
    </w:p>
    <w:p>
      <w:pPr>
        <w:pStyle w:val="49"/>
        <w:keepNext w:val="0"/>
        <w:keepLines w:val="0"/>
        <w:pageBreakBefore w:val="0"/>
        <w:widowControl w:val="0"/>
        <w:numPr>
          <w:ilvl w:val="0"/>
          <w:numId w:val="9"/>
        </w:numPr>
        <w:kinsoku/>
        <w:wordWrap/>
        <w:overflowPunct/>
        <w:topLinePunct w:val="0"/>
        <w:autoSpaceDE/>
        <w:autoSpaceDN/>
        <w:bidi w:val="0"/>
        <w:adjustRightInd/>
        <w:snapToGrid w:val="0"/>
        <w:spacing w:after="0" w:line="240" w:lineRule="auto"/>
        <w:ind w:firstLineChars="0"/>
        <w:textAlignment w:val="auto"/>
        <w:rPr>
          <w:rFonts w:eastAsia="宋体"/>
          <w:bCs/>
          <w:i/>
          <w:iCs/>
          <w:sz w:val="20"/>
          <w:szCs w:val="20"/>
        </w:rPr>
      </w:pPr>
      <w:r>
        <w:rPr>
          <w:rFonts w:eastAsia="MS Mincho" w:cs="Times New Roman"/>
          <w:i/>
          <w:sz w:val="20"/>
          <w:lang w:val="en-GB" w:eastAsia="ja-JP"/>
        </w:rPr>
        <w:t>If the SRS hop is within the initial BWP, the existing dropping rule for RRC_CONNECTED state is reused.</w:t>
      </w:r>
    </w:p>
    <w:p>
      <w:pPr>
        <w:pStyle w:val="49"/>
        <w:keepNext w:val="0"/>
        <w:keepLines w:val="0"/>
        <w:pageBreakBefore w:val="0"/>
        <w:widowControl w:val="0"/>
        <w:numPr>
          <w:ilvl w:val="0"/>
          <w:numId w:val="9"/>
        </w:numPr>
        <w:kinsoku/>
        <w:wordWrap/>
        <w:overflowPunct/>
        <w:topLinePunct w:val="0"/>
        <w:autoSpaceDE/>
        <w:autoSpaceDN/>
        <w:bidi w:val="0"/>
        <w:adjustRightInd/>
        <w:snapToGrid w:val="0"/>
        <w:spacing w:after="0" w:line="240" w:lineRule="auto"/>
        <w:ind w:firstLineChars="0"/>
        <w:textAlignment w:val="auto"/>
        <w:rPr>
          <w:rFonts w:eastAsia="宋体"/>
          <w:bCs/>
          <w:i/>
          <w:iCs/>
          <w:sz w:val="20"/>
          <w:szCs w:val="20"/>
        </w:rPr>
      </w:pPr>
      <w:r>
        <w:rPr>
          <w:rFonts w:eastAsia="宋体"/>
          <w:bCs/>
          <w:i/>
          <w:iCs/>
          <w:sz w:val="20"/>
          <w:szCs w:val="20"/>
        </w:rPr>
        <w:t>If the SRS hop is outside the initial BWP, Rel-17 defined rule for SRS outside initial BWP in RRC_INACTIVE state is reused, i.e. SRS has low priority.</w:t>
      </w:r>
    </w:p>
    <w:p>
      <w:pPr>
        <w:pStyle w:val="49"/>
        <w:snapToGrid w:val="0"/>
        <w:spacing w:before="180" w:beforeLines="50" w:after="180" w:afterLines="50" w:line="240" w:lineRule="auto"/>
        <w:ind w:firstLine="0" w:firstLineChars="0"/>
        <w:rPr>
          <w:rFonts w:eastAsia="宋体"/>
          <w:bCs/>
          <w:iCs/>
          <w:sz w:val="20"/>
          <w:szCs w:val="20"/>
        </w:rPr>
      </w:pPr>
    </w:p>
    <w:p>
      <w:pPr>
        <w:pStyle w:val="2"/>
        <w:snapToGrid w:val="0"/>
        <w:spacing w:before="120" w:after="180" w:afterLines="50" w:line="240" w:lineRule="auto"/>
        <w:ind w:left="431" w:hanging="431"/>
        <w:jc w:val="both"/>
        <w:rPr>
          <w:bCs w:val="0"/>
          <w:sz w:val="28"/>
        </w:rPr>
      </w:pPr>
      <w:r>
        <w:rPr>
          <w:sz w:val="28"/>
          <w:lang w:val="en-US"/>
        </w:rPr>
        <w:t>CPP for RedCap UE</w:t>
      </w:r>
    </w:p>
    <w:p>
      <w:pPr>
        <w:pStyle w:val="49"/>
        <w:snapToGrid w:val="0"/>
        <w:spacing w:before="180" w:beforeLines="50" w:after="180" w:afterLines="50" w:line="240" w:lineRule="auto"/>
        <w:ind w:firstLine="0" w:firstLineChars="0"/>
        <w:rPr>
          <w:rFonts w:eastAsia="宋体"/>
          <w:bCs/>
          <w:iCs/>
          <w:sz w:val="20"/>
          <w:szCs w:val="20"/>
        </w:rPr>
      </w:pPr>
      <w:r>
        <w:rPr>
          <w:rFonts w:eastAsia="宋体"/>
          <w:bCs/>
          <w:iCs/>
          <w:sz w:val="20"/>
          <w:szCs w:val="20"/>
        </w:rPr>
        <w:t>In general, there are three potential methods for carrier phase (CP) measurement reporting for RedCap UE as the following.</w:t>
      </w:r>
    </w:p>
    <w:p>
      <w:pPr>
        <w:pStyle w:val="89"/>
        <w:widowControl w:val="0"/>
        <w:numPr>
          <w:ilvl w:val="0"/>
          <w:numId w:val="8"/>
        </w:numPr>
        <w:snapToGrid w:val="0"/>
        <w:spacing w:before="180" w:beforeLines="50" w:afterLines="50" w:line="240" w:lineRule="auto"/>
        <w:rPr>
          <w:bCs/>
          <w:i/>
          <w:iCs/>
          <w:sz w:val="20"/>
        </w:rPr>
      </w:pPr>
      <w:r>
        <w:rPr>
          <w:bCs/>
          <w:i/>
          <w:iCs/>
          <w:sz w:val="20"/>
        </w:rPr>
        <w:t>Single hop CP measurement reporting (e.g., only the CP measurement of the first hop is reported). It should be noted that, if one hop were invalid (e.g., because of collision), the CP measurement</w:t>
      </w:r>
      <w:r>
        <w:rPr>
          <w:rFonts w:hint="eastAsia"/>
          <w:bCs/>
          <w:i/>
          <w:iCs/>
          <w:sz w:val="20"/>
          <w:lang w:eastAsia="zh-CN"/>
        </w:rPr>
        <w:t xml:space="preserve"> </w:t>
      </w:r>
      <w:r>
        <w:rPr>
          <w:bCs/>
          <w:i/>
          <w:iCs/>
          <w:sz w:val="20"/>
        </w:rPr>
        <w:t>of a valid hop will be reported.</w:t>
      </w:r>
    </w:p>
    <w:p>
      <w:pPr>
        <w:pStyle w:val="89"/>
        <w:widowControl w:val="0"/>
        <w:numPr>
          <w:ilvl w:val="0"/>
          <w:numId w:val="8"/>
        </w:numPr>
        <w:snapToGrid w:val="0"/>
        <w:spacing w:before="180" w:beforeLines="50" w:afterLines="50" w:line="240" w:lineRule="auto"/>
        <w:rPr>
          <w:bCs/>
          <w:i/>
          <w:iCs/>
          <w:sz w:val="20"/>
        </w:rPr>
      </w:pPr>
      <w:r>
        <w:rPr>
          <w:bCs/>
          <w:i/>
          <w:iCs/>
          <w:sz w:val="20"/>
        </w:rPr>
        <w:t>Multiple CP measurements reporting (e.g., all the CP measurements of all the hops are reported). It should be noted that, the overhead of reporting is very large.</w:t>
      </w:r>
    </w:p>
    <w:p>
      <w:pPr>
        <w:pStyle w:val="89"/>
        <w:widowControl w:val="0"/>
        <w:numPr>
          <w:ilvl w:val="0"/>
          <w:numId w:val="8"/>
        </w:numPr>
        <w:snapToGrid w:val="0"/>
        <w:spacing w:before="180" w:beforeLines="50" w:afterLines="50" w:line="240" w:lineRule="auto"/>
        <w:rPr>
          <w:bCs/>
          <w:i/>
          <w:iCs/>
          <w:sz w:val="20"/>
        </w:rPr>
      </w:pPr>
      <w:r>
        <w:rPr>
          <w:bCs/>
          <w:i/>
          <w:iCs/>
          <w:sz w:val="20"/>
        </w:rPr>
        <w:t>Single CP measurement reporting of concatenated hops. It should be noted that, if a pattern of non-overlapping hops were applied, this CP measurement is invalid because of possible phase rotation between hops. In addition, if these hops included a long duration, this CP measurement is not accurate.</w:t>
      </w:r>
    </w:p>
    <w:p>
      <w:pPr>
        <w:pStyle w:val="49"/>
        <w:snapToGrid w:val="0"/>
        <w:spacing w:before="180" w:beforeLines="50" w:after="180" w:afterLines="50" w:line="240" w:lineRule="auto"/>
        <w:ind w:firstLine="0" w:firstLineChars="0"/>
        <w:rPr>
          <w:rFonts w:eastAsia="宋体"/>
          <w:bCs/>
          <w:iCs/>
          <w:sz w:val="20"/>
          <w:szCs w:val="20"/>
        </w:rPr>
      </w:pPr>
      <w:r>
        <w:rPr>
          <w:rFonts w:eastAsia="宋体"/>
          <w:bCs/>
          <w:iCs/>
          <w:sz w:val="20"/>
          <w:szCs w:val="20"/>
        </w:rPr>
        <w:t>Based on this, we have the following proposal.</w:t>
      </w:r>
    </w:p>
    <w:p>
      <w:pPr>
        <w:pStyle w:val="49"/>
        <w:keepNext w:val="0"/>
        <w:keepLines w:val="0"/>
        <w:pageBreakBefore w:val="0"/>
        <w:widowControl w:val="0"/>
        <w:kinsoku/>
        <w:wordWrap/>
        <w:topLinePunct w:val="0"/>
        <w:bidi w:val="0"/>
        <w:snapToGrid w:val="0"/>
        <w:spacing w:after="0" w:line="240" w:lineRule="auto"/>
        <w:ind w:firstLine="0" w:firstLineChars="0"/>
        <w:rPr>
          <w:rFonts w:eastAsia="宋体"/>
          <w:bCs/>
          <w:i/>
          <w:iCs/>
          <w:sz w:val="20"/>
          <w:szCs w:val="20"/>
        </w:rPr>
      </w:pPr>
      <w:r>
        <w:rPr>
          <w:rFonts w:eastAsia="宋体"/>
          <w:b/>
          <w:bCs w:val="0"/>
          <w:i/>
          <w:iCs/>
          <w:sz w:val="20"/>
          <w:szCs w:val="20"/>
        </w:rPr>
        <w:t xml:space="preserve">Proposal </w:t>
      </w:r>
      <w:r>
        <w:rPr>
          <w:rFonts w:hint="eastAsia" w:eastAsia="宋体"/>
          <w:b/>
          <w:bCs w:val="0"/>
          <w:i/>
          <w:iCs/>
          <w:sz w:val="20"/>
          <w:szCs w:val="20"/>
        </w:rPr>
        <w:t>9</w:t>
      </w:r>
      <w:r>
        <w:rPr>
          <w:rFonts w:eastAsia="宋体"/>
          <w:b/>
          <w:bCs w:val="0"/>
          <w:i/>
          <w:iCs/>
          <w:sz w:val="20"/>
          <w:szCs w:val="20"/>
        </w:rPr>
        <w:t>:</w:t>
      </w:r>
      <w:r>
        <w:rPr>
          <w:rFonts w:eastAsia="宋体"/>
          <w:bCs/>
          <w:i/>
          <w:iCs/>
          <w:sz w:val="20"/>
          <w:szCs w:val="20"/>
        </w:rPr>
        <w:t xml:space="preserve"> Only single hop CP measurement is reported.</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FFS the first hop</w:t>
      </w:r>
      <w:r>
        <w:rPr>
          <w:rFonts w:hint="eastAsia"/>
          <w:bCs/>
          <w:i/>
          <w:iCs/>
          <w:sz w:val="20"/>
          <w:lang w:val="en-US" w:eastAsia="zh-CN"/>
        </w:rPr>
        <w:t xml:space="preserve">  </w:t>
      </w:r>
    </w:p>
    <w:p>
      <w:pPr>
        <w:pStyle w:val="49"/>
        <w:snapToGrid w:val="0"/>
        <w:spacing w:before="180" w:beforeLines="50" w:after="180" w:afterLines="50" w:line="240" w:lineRule="auto"/>
        <w:ind w:firstLine="0" w:firstLineChars="0"/>
        <w:rPr>
          <w:rFonts w:eastAsia="宋体"/>
          <w:bCs/>
          <w:iCs/>
          <w:sz w:val="20"/>
          <w:szCs w:val="20"/>
        </w:rPr>
      </w:pPr>
    </w:p>
    <w:p>
      <w:pPr>
        <w:pStyle w:val="2"/>
        <w:snapToGrid w:val="0"/>
        <w:spacing w:before="120" w:after="180" w:afterLines="50" w:line="240" w:lineRule="auto"/>
        <w:ind w:left="431" w:hanging="431"/>
        <w:jc w:val="both"/>
        <w:rPr>
          <w:sz w:val="28"/>
          <w:lang w:val="en-US"/>
        </w:rPr>
      </w:pPr>
      <w:r>
        <w:rPr>
          <w:sz w:val="28"/>
          <w:lang w:val="en-US"/>
        </w:rPr>
        <w:t>Recommended parameters for higher layer</w:t>
      </w:r>
    </w:p>
    <w:p>
      <w:pPr>
        <w:pStyle w:val="49"/>
        <w:snapToGrid w:val="0"/>
        <w:spacing w:before="180" w:beforeLines="50" w:after="180" w:afterLines="50" w:line="240" w:lineRule="auto"/>
        <w:ind w:firstLine="0" w:firstLineChars="0"/>
        <w:rPr>
          <w:rFonts w:eastAsia="宋体"/>
          <w:bCs/>
          <w:iCs/>
          <w:sz w:val="20"/>
          <w:szCs w:val="20"/>
        </w:rPr>
      </w:pPr>
      <w:r>
        <w:rPr>
          <w:rFonts w:eastAsia="宋体"/>
          <w:bCs/>
          <w:iCs/>
          <w:sz w:val="20"/>
          <w:szCs w:val="20"/>
        </w:rPr>
        <w:t>According to the discussion above, we have the following parameters for higher layer for consideration.</w:t>
      </w:r>
    </w:p>
    <w:p>
      <w:pPr>
        <w:pStyle w:val="49"/>
        <w:keepNext w:val="0"/>
        <w:keepLines w:val="0"/>
        <w:pageBreakBefore w:val="0"/>
        <w:widowControl w:val="0"/>
        <w:kinsoku/>
        <w:wordWrap/>
        <w:topLinePunct w:val="0"/>
        <w:bidi w:val="0"/>
        <w:snapToGrid w:val="0"/>
        <w:spacing w:after="0" w:line="240" w:lineRule="auto"/>
        <w:ind w:firstLine="0" w:firstLineChars="0"/>
        <w:rPr>
          <w:rFonts w:eastAsia="宋体"/>
          <w:bCs/>
          <w:iCs/>
          <w:sz w:val="20"/>
          <w:szCs w:val="20"/>
        </w:rPr>
      </w:pPr>
      <w:r>
        <w:rPr>
          <w:rFonts w:hint="eastAsia" w:eastAsia="宋体"/>
          <w:b/>
          <w:bCs/>
          <w:i/>
          <w:iCs/>
          <w:sz w:val="20"/>
          <w:szCs w:val="20"/>
        </w:rPr>
        <w:t xml:space="preserve">Proposal </w:t>
      </w:r>
      <w:r>
        <w:rPr>
          <w:rFonts w:eastAsia="宋体"/>
          <w:b/>
          <w:bCs/>
          <w:i/>
          <w:iCs/>
          <w:sz w:val="20"/>
          <w:szCs w:val="20"/>
        </w:rPr>
        <w:t>1</w:t>
      </w:r>
      <w:r>
        <w:rPr>
          <w:rFonts w:hint="eastAsia" w:eastAsia="宋体"/>
          <w:b/>
          <w:bCs/>
          <w:i/>
          <w:iCs/>
          <w:sz w:val="20"/>
          <w:szCs w:val="20"/>
        </w:rPr>
        <w:t xml:space="preserve">0: </w:t>
      </w:r>
      <w:r>
        <w:rPr>
          <w:rFonts w:eastAsia="宋体"/>
          <w:bCs/>
          <w:i/>
          <w:iCs/>
          <w:sz w:val="20"/>
          <w:szCs w:val="20"/>
        </w:rPr>
        <w:t>The parameters are recommended for higher layer.</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maximum number of support</w:t>
      </w:r>
      <w:r>
        <w:rPr>
          <w:rFonts w:hint="eastAsia"/>
          <w:bCs/>
          <w:i/>
          <w:iCs/>
          <w:sz w:val="20"/>
          <w:lang w:eastAsia="zh-CN"/>
        </w:rPr>
        <w:t>ed</w:t>
      </w:r>
      <w:r>
        <w:rPr>
          <w:bCs/>
          <w:i/>
          <w:iCs/>
          <w:sz w:val="20"/>
        </w:rPr>
        <w:t xml:space="preserve"> frequency hops [1,2, ..., 5]</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overlapping PRB(s) between adjacent hops or a capability on the maximum equivalent bandwidth after combing all hops [0,1,2, 4]</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UE capability on support of on-demand PRS with Rx hopping [Yes/No]</w:t>
      </w:r>
    </w:p>
    <w:p>
      <w:pPr>
        <w:pStyle w:val="49"/>
        <w:snapToGrid w:val="0"/>
        <w:spacing w:before="180" w:beforeLines="50" w:after="180" w:afterLines="50" w:line="240" w:lineRule="auto"/>
        <w:ind w:firstLine="0" w:firstLineChars="0"/>
        <w:rPr>
          <w:rFonts w:eastAsia="宋体"/>
          <w:bCs/>
          <w:iCs/>
          <w:sz w:val="20"/>
          <w:szCs w:val="20"/>
        </w:rPr>
      </w:pPr>
    </w:p>
    <w:bookmarkEnd w:id="7"/>
    <w:p>
      <w:pPr>
        <w:pStyle w:val="2"/>
        <w:snapToGrid w:val="0"/>
        <w:spacing w:before="120" w:after="180" w:afterLines="50" w:line="240" w:lineRule="auto"/>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w:t>
      </w:r>
      <w:r>
        <w:rPr>
          <w:rFonts w:hint="eastAsia" w:ascii="Times New Roman" w:hAnsi="Times New Roman"/>
          <w:iCs/>
          <w:sz w:val="20"/>
          <w:szCs w:val="20"/>
        </w:rPr>
        <w:t xml:space="preserve"> our </w:t>
      </w:r>
      <w:r>
        <w:rPr>
          <w:rFonts w:ascii="Times New Roman" w:hAnsi="Times New Roman"/>
          <w:iCs/>
          <w:sz w:val="20"/>
          <w:szCs w:val="20"/>
        </w:rPr>
        <w:t>solutions</w:t>
      </w:r>
      <w:r>
        <w:rPr>
          <w:rFonts w:hint="eastAsia" w:ascii="Times New Roman" w:hAnsi="Times New Roman"/>
          <w:iCs/>
          <w:sz w:val="20"/>
          <w:szCs w:val="20"/>
        </w:rPr>
        <w:t xml:space="preserve"> on </w:t>
      </w:r>
      <w:r>
        <w:rPr>
          <w:rFonts w:ascii="Times New Roman" w:hAnsi="Times New Roman"/>
          <w:iCs/>
          <w:sz w:val="20"/>
          <w:szCs w:val="20"/>
        </w:rPr>
        <w:t>positioning support for RedCap UE techniques as the following</w:t>
      </w:r>
      <w:r>
        <w:rPr>
          <w:rFonts w:hint="eastAsia" w:ascii="Times New Roman" w:hAnsi="Times New Roman"/>
          <w:iCs/>
          <w:sz w:val="20"/>
          <w:szCs w:val="20"/>
        </w:rPr>
        <w:t xml:space="preserve"> </w:t>
      </w:r>
      <w:r>
        <w:rPr>
          <w:rFonts w:ascii="Times New Roman" w:hAnsi="Times New Roman"/>
          <w:iCs/>
          <w:sz w:val="20"/>
          <w:szCs w:val="20"/>
        </w:rPr>
        <w:t>proposals.</w:t>
      </w:r>
    </w:p>
    <w:p>
      <w:pPr>
        <w:keepNext w:val="0"/>
        <w:keepLines w:val="0"/>
        <w:pageBreakBefore w:val="0"/>
        <w:widowControl w:val="0"/>
        <w:kinsoku/>
        <w:wordWrap/>
        <w:topLinePunct w:val="0"/>
        <w:bidi w:val="0"/>
        <w:snapToGrid w:val="0"/>
        <w:spacing w:after="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ascii="Times New Roman" w:hAnsi="Times New Roman" w:eastAsia="宋体"/>
          <w:bCs/>
          <w:i/>
          <w:iCs/>
          <w:kern w:val="2"/>
          <w:sz w:val="20"/>
          <w:szCs w:val="20"/>
        </w:rPr>
        <w:t>With regards to Rx frequency hopping for positioning for RedCap UE:</w:t>
      </w:r>
    </w:p>
    <w:p>
      <w:pPr>
        <w:pStyle w:val="89"/>
        <w:keepNext w:val="0"/>
        <w:keepLines w:val="0"/>
        <w:pageBreakBefore w:val="0"/>
        <w:widowControl w:val="0"/>
        <w:numPr>
          <w:ilvl w:val="0"/>
          <w:numId w:val="6"/>
        </w:numPr>
        <w:kinsoku/>
        <w:wordWrap/>
        <w:topLinePunct w:val="0"/>
        <w:bidi w:val="0"/>
        <w:snapToGrid w:val="0"/>
        <w:spacing w:after="0" w:line="240" w:lineRule="auto"/>
        <w:jc w:val="both"/>
        <w:rPr>
          <w:i/>
          <w:sz w:val="20"/>
        </w:rPr>
      </w:pPr>
      <w:r>
        <w:rPr>
          <w:i/>
          <w:sz w:val="20"/>
        </w:rPr>
        <w:t xml:space="preserve">UE reports </w:t>
      </w:r>
      <w:r>
        <w:rPr>
          <w:i/>
          <w:sz w:val="20"/>
          <w:lang w:eastAsia="zh-CN"/>
        </w:rPr>
        <w:t xml:space="preserve">a </w:t>
      </w:r>
      <w:r>
        <w:rPr>
          <w:rFonts w:hint="eastAsia"/>
          <w:i/>
          <w:sz w:val="20"/>
          <w:lang w:eastAsia="zh-CN"/>
        </w:rPr>
        <w:t>capabilit</w:t>
      </w:r>
      <w:r>
        <w:rPr>
          <w:i/>
          <w:sz w:val="20"/>
          <w:lang w:eastAsia="zh-CN"/>
        </w:rPr>
        <w:t>y on</w:t>
      </w:r>
      <w:r>
        <w:rPr>
          <w:i/>
          <w:sz w:val="20"/>
        </w:rPr>
        <w:t xml:space="preserve"> the maximum number of supporting frequency hops to network, the candidates at least include {2, 3, 4, 5}</w:t>
      </w:r>
    </w:p>
    <w:p>
      <w:pPr>
        <w:pStyle w:val="89"/>
        <w:keepNext w:val="0"/>
        <w:keepLines w:val="0"/>
        <w:pageBreakBefore w:val="0"/>
        <w:widowControl w:val="0"/>
        <w:numPr>
          <w:ilvl w:val="0"/>
          <w:numId w:val="6"/>
        </w:numPr>
        <w:kinsoku/>
        <w:wordWrap/>
        <w:topLinePunct w:val="0"/>
        <w:bidi w:val="0"/>
        <w:snapToGrid w:val="0"/>
        <w:spacing w:after="0" w:line="240" w:lineRule="auto"/>
        <w:jc w:val="both"/>
        <w:rPr>
          <w:i/>
          <w:sz w:val="20"/>
        </w:rPr>
      </w:pPr>
      <w:r>
        <w:rPr>
          <w:rFonts w:hint="eastAsia"/>
          <w:i/>
          <w:sz w:val="20"/>
          <w:lang w:eastAsia="zh-CN"/>
        </w:rPr>
        <w:t xml:space="preserve">UE reports a capability on the overlapping PRB(s) between adjacent hops or a capability on the </w:t>
      </w:r>
      <w:r>
        <w:rPr>
          <w:i/>
          <w:sz w:val="20"/>
          <w:lang w:eastAsia="zh-CN"/>
        </w:rPr>
        <w:t>maximum equivalent bandwidth after combing all hops</w:t>
      </w:r>
    </w:p>
    <w:p>
      <w:pPr>
        <w:keepNext w:val="0"/>
        <w:keepLines w:val="0"/>
        <w:pageBreakBefore w:val="0"/>
        <w:kinsoku/>
        <w:wordWrap/>
        <w:topLinePunct w:val="0"/>
        <w:bidi w:val="0"/>
        <w:snapToGrid w:val="0"/>
        <w:spacing w:after="0" w:line="240" w:lineRule="auto"/>
        <w:jc w:val="both"/>
        <w:rPr>
          <w:rFonts w:hint="eastAsia" w:eastAsia="宋体"/>
          <w:b/>
          <w:bCs/>
          <w:i/>
          <w:iCs/>
          <w:sz w:val="20"/>
          <w:szCs w:val="20"/>
        </w:rPr>
      </w:pPr>
    </w:p>
    <w:p>
      <w:pPr>
        <w:keepNext w:val="0"/>
        <w:keepLines w:val="0"/>
        <w:pageBreakBefore w:val="0"/>
        <w:kinsoku/>
        <w:wordWrap/>
        <w:topLinePunct w:val="0"/>
        <w:bidi w:val="0"/>
        <w:snapToGrid w:val="0"/>
        <w:spacing w:after="0" w:line="240" w:lineRule="auto"/>
        <w:jc w:val="both"/>
        <w:rPr>
          <w:rFonts w:ascii="Times New Roman" w:hAnsi="Times New Roman" w:cs="Times New Roman"/>
          <w:bCs/>
          <w:i/>
          <w:sz w:val="20"/>
          <w:szCs w:val="20"/>
        </w:rPr>
      </w:pPr>
      <w:r>
        <w:rPr>
          <w:rFonts w:hint="eastAsia" w:eastAsia="宋体"/>
          <w:b/>
          <w:bCs/>
          <w:i/>
          <w:iCs/>
          <w:sz w:val="20"/>
          <w:szCs w:val="20"/>
        </w:rPr>
        <w:t xml:space="preserve">Proposal 2: </w:t>
      </w:r>
      <w:r>
        <w:rPr>
          <w:rFonts w:ascii="Times New Roman" w:hAnsi="Times New Roman" w:cs="Times New Roman"/>
          <w:bCs/>
          <w:i/>
          <w:sz w:val="20"/>
          <w:szCs w:val="20"/>
        </w:rPr>
        <w:t>For DL Rx hopping, support UE to report either</w:t>
      </w:r>
    </w:p>
    <w:p>
      <w:pPr>
        <w:keepNext w:val="0"/>
        <w:keepLines w:val="0"/>
        <w:pageBreakBefore w:val="0"/>
        <w:numPr>
          <w:ilvl w:val="0"/>
          <w:numId w:val="7"/>
        </w:numPr>
        <w:kinsoku/>
        <w:wordWrap/>
        <w:topLinePunct w:val="0"/>
        <w:bidi w:val="0"/>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A single measurement based on receiving multiple hops of the DL PRS for positioning </w:t>
      </w:r>
    </w:p>
    <w:p>
      <w:pPr>
        <w:keepNext w:val="0"/>
        <w:keepLines w:val="0"/>
        <w:pageBreakBefore w:val="0"/>
        <w:numPr>
          <w:ilvl w:val="1"/>
          <w:numId w:val="7"/>
        </w:numPr>
        <w:kinsoku/>
        <w:wordWrap/>
        <w:topLinePunct w:val="0"/>
        <w:bidi w:val="0"/>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The frequency range or hop indications of the multiple hops should be reported as well</w:t>
      </w:r>
    </w:p>
    <w:p>
      <w:pPr>
        <w:keepNext w:val="0"/>
        <w:keepLines w:val="0"/>
        <w:pageBreakBefore w:val="0"/>
        <w:numPr>
          <w:ilvl w:val="0"/>
          <w:numId w:val="7"/>
        </w:numPr>
        <w:kinsoku/>
        <w:wordWrap/>
        <w:topLinePunct w:val="0"/>
        <w:bidi w:val="0"/>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Or one measurement which is associated with one received hop</w:t>
      </w:r>
    </w:p>
    <w:p>
      <w:pPr>
        <w:keepNext w:val="0"/>
        <w:keepLines w:val="0"/>
        <w:pageBreakBefore w:val="0"/>
        <w:numPr>
          <w:ilvl w:val="1"/>
          <w:numId w:val="7"/>
        </w:numPr>
        <w:kinsoku/>
        <w:wordWrap/>
        <w:topLinePunct w:val="0"/>
        <w:bidi w:val="0"/>
        <w:snapToGrid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The frequency range or hop indication of the hop should be reported as well</w:t>
      </w:r>
    </w:p>
    <w:p>
      <w:pPr>
        <w:keepNext w:val="0"/>
        <w:keepLines w:val="0"/>
        <w:pageBreakBefore w:val="0"/>
        <w:kinsoku/>
        <w:wordWrap/>
        <w:topLinePunct w:val="0"/>
        <w:bidi w:val="0"/>
        <w:adjustRightInd w:val="0"/>
        <w:snapToGrid w:val="0"/>
        <w:spacing w:after="0" w:line="240" w:lineRule="auto"/>
        <w:jc w:val="both"/>
        <w:rPr>
          <w:rFonts w:hint="eastAsia" w:ascii="Times New Roman" w:hAnsi="Times New Roman" w:eastAsia="宋体"/>
          <w:b/>
          <w:bCs/>
          <w:i/>
          <w:iCs/>
          <w:kern w:val="2"/>
          <w:sz w:val="20"/>
          <w:szCs w:val="20"/>
        </w:rPr>
      </w:pPr>
    </w:p>
    <w:p>
      <w:pPr>
        <w:keepNext w:val="0"/>
        <w:keepLines w:val="0"/>
        <w:pageBreakBefore w:val="0"/>
        <w:kinsoku/>
        <w:wordWrap/>
        <w:topLinePunct w:val="0"/>
        <w:bidi w:val="0"/>
        <w:adjustRightInd w:val="0"/>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3: </w:t>
      </w:r>
      <w:r>
        <w:rPr>
          <w:rFonts w:ascii="Times New Roman" w:hAnsi="Times New Roman" w:eastAsia="宋体"/>
          <w:bCs/>
          <w:i/>
          <w:iCs/>
          <w:kern w:val="2"/>
          <w:sz w:val="20"/>
          <w:szCs w:val="20"/>
        </w:rPr>
        <w:t xml:space="preserve">For PRS reception with hopping, </w:t>
      </w:r>
      <w:r>
        <w:rPr>
          <w:rFonts w:ascii="Times New Roman" w:hAnsi="Times New Roman" w:eastAsia="宋体"/>
          <w:i/>
          <w:iCs/>
          <w:kern w:val="2"/>
          <w:sz w:val="20"/>
          <w:szCs w:val="20"/>
        </w:rPr>
        <w:t xml:space="preserve">one or more of the following parameters </w:t>
      </w:r>
      <w:r>
        <w:rPr>
          <w:rFonts w:hint="eastAsia" w:ascii="Times New Roman" w:hAnsi="Times New Roman" w:eastAsia="宋体"/>
          <w:i/>
          <w:iCs/>
          <w:kern w:val="2"/>
          <w:sz w:val="20"/>
          <w:szCs w:val="20"/>
        </w:rPr>
        <w:t>in assistance data</w:t>
      </w:r>
      <w:r>
        <w:rPr>
          <w:rFonts w:ascii="Times New Roman" w:hAnsi="Times New Roman" w:eastAsia="宋体"/>
          <w:i/>
          <w:iCs/>
          <w:kern w:val="2"/>
          <w:sz w:val="20"/>
          <w:szCs w:val="20"/>
        </w:rPr>
        <w:t xml:space="preserve"> or location request</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should be introduced to facilitate UE’s PRS measurement</w:t>
      </w:r>
      <w:r>
        <w:rPr>
          <w:rFonts w:ascii="Times New Roman" w:hAnsi="Times New Roman" w:eastAsia="宋体"/>
          <w:bCs/>
          <w:i/>
          <w:iCs/>
          <w:kern w:val="2"/>
          <w:sz w:val="20"/>
          <w:szCs w:val="20"/>
        </w:rPr>
        <w:t>.</w:t>
      </w:r>
    </w:p>
    <w:p>
      <w:pPr>
        <w:pStyle w:val="89"/>
        <w:keepNext w:val="0"/>
        <w:keepLines w:val="0"/>
        <w:pageBreakBefore w:val="0"/>
        <w:widowControl w:val="0"/>
        <w:numPr>
          <w:ilvl w:val="0"/>
          <w:numId w:val="6"/>
        </w:numPr>
        <w:kinsoku/>
        <w:wordWrap/>
        <w:topLinePunct w:val="0"/>
        <w:bidi w:val="0"/>
        <w:snapToGrid w:val="0"/>
        <w:spacing w:after="0" w:line="240" w:lineRule="auto"/>
        <w:jc w:val="both"/>
        <w:rPr>
          <w:i/>
          <w:sz w:val="20"/>
        </w:rPr>
      </w:pPr>
      <w:r>
        <w:rPr>
          <w:i/>
          <w:sz w:val="20"/>
        </w:rPr>
        <w:t>Number of hops</w:t>
      </w:r>
    </w:p>
    <w:p>
      <w:pPr>
        <w:pStyle w:val="89"/>
        <w:keepNext w:val="0"/>
        <w:keepLines w:val="0"/>
        <w:pageBreakBefore w:val="0"/>
        <w:widowControl w:val="0"/>
        <w:numPr>
          <w:ilvl w:val="0"/>
          <w:numId w:val="6"/>
        </w:numPr>
        <w:kinsoku/>
        <w:wordWrap/>
        <w:topLinePunct w:val="0"/>
        <w:bidi w:val="0"/>
        <w:snapToGrid w:val="0"/>
        <w:spacing w:after="0" w:line="240" w:lineRule="auto"/>
        <w:jc w:val="both"/>
        <w:rPr>
          <w:i/>
          <w:sz w:val="20"/>
        </w:rPr>
      </w:pPr>
      <w:r>
        <w:rPr>
          <w:i/>
          <w:sz w:val="20"/>
        </w:rPr>
        <w:t>Number of overlapped RB between hops</w:t>
      </w:r>
    </w:p>
    <w:p>
      <w:pPr>
        <w:pStyle w:val="89"/>
        <w:keepNext w:val="0"/>
        <w:keepLines w:val="0"/>
        <w:pageBreakBefore w:val="0"/>
        <w:widowControl w:val="0"/>
        <w:numPr>
          <w:ilvl w:val="0"/>
          <w:numId w:val="6"/>
        </w:numPr>
        <w:kinsoku/>
        <w:wordWrap/>
        <w:topLinePunct w:val="0"/>
        <w:bidi w:val="0"/>
        <w:snapToGrid w:val="0"/>
        <w:spacing w:after="0" w:line="240" w:lineRule="auto"/>
        <w:jc w:val="both"/>
        <w:rPr>
          <w:i/>
          <w:sz w:val="20"/>
        </w:rPr>
      </w:pPr>
      <w:r>
        <w:rPr>
          <w:i/>
          <w:sz w:val="20"/>
        </w:rPr>
        <w:t>Total bandwidth of all hops</w:t>
      </w:r>
    </w:p>
    <w:p>
      <w:pPr>
        <w:keepNext w:val="0"/>
        <w:keepLines w:val="0"/>
        <w:pageBreakBefore w:val="0"/>
        <w:kinsoku/>
        <w:wordWrap/>
        <w:topLinePunct w:val="0"/>
        <w:bidi w:val="0"/>
        <w:adjustRightInd w:val="0"/>
        <w:snapToGrid w:val="0"/>
        <w:spacing w:after="0" w:line="240" w:lineRule="auto"/>
        <w:jc w:val="both"/>
        <w:rPr>
          <w:rFonts w:hint="eastAsia" w:ascii="Times New Roman" w:hAnsi="Times New Roman" w:eastAsia="宋体"/>
          <w:b/>
          <w:bCs/>
          <w:i/>
          <w:iCs/>
          <w:kern w:val="2"/>
          <w:sz w:val="20"/>
          <w:szCs w:val="20"/>
        </w:rPr>
      </w:pPr>
    </w:p>
    <w:p>
      <w:pPr>
        <w:keepNext w:val="0"/>
        <w:keepLines w:val="0"/>
        <w:pageBreakBefore w:val="0"/>
        <w:kinsoku/>
        <w:wordWrap/>
        <w:topLinePunct w:val="0"/>
        <w:bidi w:val="0"/>
        <w:adjustRightInd w:val="0"/>
        <w:snapToGrid w:val="0"/>
        <w:spacing w:after="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Proposal 4</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For on-demand PRS, a RedCap UE can request a larger bandwidth that the UE supports</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which</w:t>
      </w:r>
      <w:r>
        <w:rPr>
          <w:rFonts w:hint="eastAsia" w:ascii="Times New Roman" w:hAnsi="Times New Roman" w:eastAsia="宋体"/>
          <w:bCs/>
          <w:i/>
          <w:iCs/>
          <w:kern w:val="2"/>
          <w:sz w:val="20"/>
          <w:szCs w:val="20"/>
        </w:rPr>
        <w:t xml:space="preserve"> implies PRS frequency hopping measurement is requested</w:t>
      </w:r>
      <w:r>
        <w:rPr>
          <w:rFonts w:ascii="Times New Roman" w:hAnsi="Times New Roman" w:eastAsia="宋体"/>
          <w:bCs/>
          <w:i/>
          <w:iCs/>
          <w:kern w:val="2"/>
          <w:sz w:val="20"/>
          <w:szCs w:val="20"/>
        </w:rPr>
        <w:t>.</w:t>
      </w:r>
    </w:p>
    <w:p>
      <w:pPr>
        <w:keepNext w:val="0"/>
        <w:keepLines w:val="0"/>
        <w:pageBreakBefore w:val="0"/>
        <w:kinsoku/>
        <w:wordWrap/>
        <w:topLinePunct w:val="0"/>
        <w:bidi w:val="0"/>
        <w:adjustRightInd w:val="0"/>
        <w:snapToGrid w:val="0"/>
        <w:spacing w:after="0" w:line="240" w:lineRule="auto"/>
        <w:jc w:val="both"/>
        <w:rPr>
          <w:rFonts w:ascii="Times New Roman" w:hAnsi="Times New Roman" w:eastAsia="宋体" w:cs="Times New Roman"/>
          <w:b/>
          <w:bCs/>
          <w:i/>
          <w:iCs/>
          <w:kern w:val="2"/>
          <w:sz w:val="20"/>
          <w:szCs w:val="20"/>
        </w:rPr>
      </w:pPr>
    </w:p>
    <w:p>
      <w:pPr>
        <w:keepNext w:val="0"/>
        <w:keepLines w:val="0"/>
        <w:pageBreakBefore w:val="0"/>
        <w:kinsoku/>
        <w:wordWrap/>
        <w:topLinePunct w:val="0"/>
        <w:bidi w:val="0"/>
        <w:adjustRightInd w:val="0"/>
        <w:snapToGrid w:val="0"/>
        <w:spacing w:after="0" w:line="240" w:lineRule="auto"/>
        <w:jc w:val="both"/>
        <w:rPr>
          <w:rFonts w:ascii="Times New Roman" w:hAnsi="Times New Roman" w:cs="Times New Roman"/>
          <w:i/>
        </w:rPr>
      </w:pPr>
      <w:r>
        <w:rPr>
          <w:rFonts w:ascii="Times New Roman" w:hAnsi="Times New Roman" w:eastAsia="宋体" w:cs="Times New Roman"/>
          <w:b/>
          <w:bCs/>
          <w:i/>
          <w:iCs/>
          <w:kern w:val="2"/>
          <w:sz w:val="20"/>
          <w:szCs w:val="20"/>
        </w:rPr>
        <w:t xml:space="preserve">Proposal </w:t>
      </w:r>
      <w:r>
        <w:rPr>
          <w:rFonts w:hint="eastAsia" w:ascii="Times New Roman" w:hAnsi="Times New Roman" w:eastAsia="宋体" w:cs="Times New Roman"/>
          <w:b/>
          <w:bCs/>
          <w:i/>
          <w:iCs/>
          <w:kern w:val="2"/>
          <w:sz w:val="20"/>
          <w:szCs w:val="20"/>
        </w:rPr>
        <w:t>5</w:t>
      </w:r>
      <w:r>
        <w:rPr>
          <w:rFonts w:ascii="Times New Roman" w:hAnsi="Times New Roman" w:eastAsia="宋体" w:cs="Times New Roman"/>
          <w:bCs/>
          <w:i/>
          <w:iCs/>
          <w:kern w:val="2"/>
          <w:sz w:val="20"/>
          <w:szCs w:val="20"/>
        </w:rPr>
        <w:t>: To improve positioning performance of SRS with hopping, overlapped PRBs are supported for two adjacent hops.</w:t>
      </w:r>
      <w:r>
        <w:rPr>
          <w:rFonts w:ascii="Times New Roman" w:hAnsi="Times New Roman" w:cs="Times New Roman"/>
          <w:i/>
        </w:rPr>
        <w:t xml:space="preserve"> </w:t>
      </w:r>
    </w:p>
    <w:p>
      <w:pPr>
        <w:pStyle w:val="89"/>
        <w:keepNext w:val="0"/>
        <w:keepLines w:val="0"/>
        <w:pageBreakBefore w:val="0"/>
        <w:widowControl w:val="0"/>
        <w:numPr>
          <w:ilvl w:val="0"/>
          <w:numId w:val="6"/>
        </w:numPr>
        <w:kinsoku/>
        <w:wordWrap/>
        <w:topLinePunct w:val="0"/>
        <w:bidi w:val="0"/>
        <w:snapToGrid w:val="0"/>
        <w:spacing w:after="0" w:line="240" w:lineRule="auto"/>
        <w:jc w:val="both"/>
        <w:rPr>
          <w:rFonts w:cs="Times New Roman"/>
          <w:i/>
          <w:kern w:val="2"/>
          <w:sz w:val="20"/>
        </w:rPr>
      </w:pPr>
      <w:r>
        <w:rPr>
          <w:rFonts w:cs="Times New Roman"/>
          <w:i/>
          <w:sz w:val="20"/>
        </w:rPr>
        <w:t xml:space="preserve">The hopping order in time is { </w:t>
      </w:r>
      <w:r>
        <w:rPr>
          <w:rFonts w:cs="Times New Roman"/>
          <w:i/>
          <w:sz w:val="20"/>
          <w:lang w:eastAsia="zh-CN"/>
        </w:rPr>
        <w:t>n</w:t>
      </w:r>
      <w:r>
        <w:rPr>
          <w:rFonts w:cs="Times New Roman"/>
          <w:i/>
          <w:sz w:val="20"/>
          <w:vertAlign w:val="subscript"/>
        </w:rPr>
        <w:t>hop</w:t>
      </w:r>
      <w:r>
        <w:rPr>
          <w:rFonts w:cs="Times New Roman"/>
          <w:i/>
          <w:sz w:val="20"/>
        </w:rPr>
        <w:t>, n</w:t>
      </w:r>
      <w:r>
        <w:rPr>
          <w:rFonts w:cs="Times New Roman"/>
          <w:i/>
          <w:sz w:val="20"/>
          <w:vertAlign w:val="subscript"/>
        </w:rPr>
        <w:t>hop</w:t>
      </w:r>
      <w:r>
        <w:rPr>
          <w:rFonts w:cs="Times New Roman"/>
          <w:i/>
          <w:sz w:val="20"/>
        </w:rPr>
        <w:t>+1, …, n</w:t>
      </w:r>
      <w:r>
        <w:rPr>
          <w:rFonts w:cs="Times New Roman"/>
          <w:i/>
          <w:sz w:val="20"/>
          <w:vertAlign w:val="subscript"/>
        </w:rPr>
        <w:t>hop</w:t>
      </w:r>
      <w:r>
        <w:rPr>
          <w:rFonts w:cs="Times New Roman"/>
          <w:i/>
          <w:sz w:val="20"/>
        </w:rPr>
        <w:t>+N-1}mod N, where n</w:t>
      </w:r>
      <w:r>
        <w:rPr>
          <w:rFonts w:cs="Times New Roman"/>
          <w:i/>
          <w:sz w:val="20"/>
          <w:vertAlign w:val="subscript"/>
        </w:rPr>
        <w:t>hop</w:t>
      </w:r>
      <w:r>
        <w:rPr>
          <w:rFonts w:cs="Times New Roman"/>
          <w:i/>
          <w:sz w:val="20"/>
        </w:rPr>
        <w:t xml:space="preserve"> is the start hop index and N is the number of hops</w:t>
      </w:r>
    </w:p>
    <w:p>
      <w:pPr>
        <w:keepNext w:val="0"/>
        <w:keepLines w:val="0"/>
        <w:pageBreakBefore w:val="0"/>
        <w:widowControl w:val="0"/>
        <w:kinsoku/>
        <w:wordWrap/>
        <w:topLinePunct w:val="0"/>
        <w:bidi w:val="0"/>
        <w:snapToGrid w:val="0"/>
        <w:spacing w:after="0" w:line="240" w:lineRule="auto"/>
        <w:rPr>
          <w:rFonts w:hint="eastAsia" w:ascii="Times New Roman" w:hAnsi="Times New Roman" w:eastAsia="宋体"/>
          <w:b/>
          <w:bCs/>
          <w:i/>
          <w:iCs/>
          <w:kern w:val="2"/>
          <w:sz w:val="20"/>
          <w:szCs w:val="20"/>
        </w:rPr>
      </w:pPr>
    </w:p>
    <w:p>
      <w:pPr>
        <w:keepNext w:val="0"/>
        <w:keepLines w:val="0"/>
        <w:pageBreakBefore w:val="0"/>
        <w:widowControl w:val="0"/>
        <w:kinsoku/>
        <w:wordWrap/>
        <w:topLinePunct w:val="0"/>
        <w:bidi w:val="0"/>
        <w:snapToGrid w:val="0"/>
        <w:spacing w:after="0" w:line="240" w:lineRule="auto"/>
        <w:rPr>
          <w:rFonts w:eastAsiaTheme="minorEastAsia"/>
          <w:i/>
          <w:sz w:val="20"/>
        </w:rPr>
      </w:pPr>
      <w:r>
        <w:rPr>
          <w:rFonts w:hint="eastAsia" w:ascii="Times New Roman" w:hAnsi="Times New Roman" w:eastAsia="宋体"/>
          <w:b/>
          <w:bCs/>
          <w:i/>
          <w:iCs/>
          <w:kern w:val="2"/>
          <w:sz w:val="20"/>
          <w:szCs w:val="20"/>
        </w:rPr>
        <w:t xml:space="preserve">Proposal 6: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with positioning</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S</w:t>
      </w:r>
      <w:r>
        <w:rPr>
          <w:rFonts w:hint="eastAsia" w:ascii="Times New Roman" w:hAnsi="Times New Roman" w:eastAsia="宋体"/>
          <w:bCs/>
          <w:i/>
          <w:iCs/>
          <w:kern w:val="2"/>
          <w:sz w:val="20"/>
          <w:szCs w:val="20"/>
        </w:rPr>
        <w:t>RS,</w:t>
      </w:r>
      <w:r>
        <w:rPr>
          <w:rFonts w:eastAsiaTheme="minorEastAsia"/>
          <w:i/>
          <w:sz w:val="20"/>
        </w:rPr>
        <w:t xml:space="preserve"> the number of overlapping PRBs in adjacent hops is based on the bandwidth of each hop</w:t>
      </w:r>
    </w:p>
    <w:p>
      <w:pPr>
        <w:pStyle w:val="89"/>
        <w:keepNext w:val="0"/>
        <w:keepLines w:val="0"/>
        <w:pageBreakBefore w:val="0"/>
        <w:widowControl w:val="0"/>
        <w:numPr>
          <w:ilvl w:val="0"/>
          <w:numId w:val="8"/>
        </w:numPr>
        <w:kinsoku/>
        <w:wordWrap/>
        <w:topLinePunct w:val="0"/>
        <w:bidi w:val="0"/>
        <w:snapToGrid w:val="0"/>
        <w:spacing w:after="0" w:line="240" w:lineRule="auto"/>
        <w:rPr>
          <w:rFonts w:eastAsiaTheme="minorEastAsia"/>
          <w:i/>
          <w:sz w:val="20"/>
        </w:rPr>
      </w:pPr>
      <w:r>
        <w:rPr>
          <w:rFonts w:eastAsiaTheme="minorEastAsia"/>
          <w:i/>
          <w:sz w:val="20"/>
        </w:rPr>
        <w:t>Larger bandwidth of each hop corresponds to more overlapped PRBs, the candidates of PRBs can be {1, 2, 4}</w:t>
      </w:r>
    </w:p>
    <w:p>
      <w:pPr>
        <w:pStyle w:val="49"/>
        <w:keepNext w:val="0"/>
        <w:keepLines w:val="0"/>
        <w:pageBreakBefore w:val="0"/>
        <w:kinsoku/>
        <w:wordWrap/>
        <w:topLinePunct w:val="0"/>
        <w:bidi w:val="0"/>
        <w:snapToGrid w:val="0"/>
        <w:spacing w:after="0" w:line="240" w:lineRule="auto"/>
        <w:ind w:firstLine="0" w:firstLineChars="0"/>
        <w:rPr>
          <w:rFonts w:hint="eastAsia" w:eastAsia="宋体"/>
          <w:b/>
          <w:bCs/>
          <w:i/>
          <w:iCs/>
          <w:sz w:val="20"/>
          <w:szCs w:val="20"/>
        </w:rPr>
      </w:pPr>
    </w:p>
    <w:p>
      <w:pPr>
        <w:pStyle w:val="49"/>
        <w:keepNext w:val="0"/>
        <w:keepLines w:val="0"/>
        <w:pageBreakBefore w:val="0"/>
        <w:kinsoku/>
        <w:wordWrap/>
        <w:topLinePunct w:val="0"/>
        <w:bidi w:val="0"/>
        <w:snapToGrid w:val="0"/>
        <w:spacing w:after="0" w:line="240" w:lineRule="auto"/>
        <w:ind w:firstLine="0" w:firstLineChars="0"/>
        <w:rPr>
          <w:rFonts w:eastAsia="宋体"/>
          <w:bCs/>
          <w:i/>
          <w:iCs/>
          <w:sz w:val="20"/>
          <w:szCs w:val="20"/>
        </w:rPr>
      </w:pPr>
      <w:r>
        <w:rPr>
          <w:rFonts w:hint="eastAsia" w:eastAsia="宋体"/>
          <w:b/>
          <w:bCs/>
          <w:i/>
          <w:iCs/>
          <w:sz w:val="20"/>
          <w:szCs w:val="20"/>
        </w:rPr>
        <w:t xml:space="preserve">Proposal 7: </w:t>
      </w:r>
      <w:r>
        <w:rPr>
          <w:rFonts w:cs="Times New Roman"/>
          <w:bCs/>
          <w:i/>
          <w:sz w:val="20"/>
          <w:szCs w:val="20"/>
        </w:rPr>
        <w:t xml:space="preserve">For </w:t>
      </w:r>
      <w:r>
        <w:rPr>
          <w:rFonts w:hint="eastAsia" w:eastAsia="宋体" w:cs="Times New Roman"/>
          <w:bCs/>
          <w:i/>
          <w:sz w:val="20"/>
          <w:szCs w:val="20"/>
        </w:rPr>
        <w:t>U</w:t>
      </w:r>
      <w:r>
        <w:rPr>
          <w:rFonts w:cs="Times New Roman"/>
          <w:bCs/>
          <w:i/>
          <w:sz w:val="20"/>
          <w:szCs w:val="20"/>
        </w:rPr>
        <w:t xml:space="preserve">L </w:t>
      </w:r>
      <w:r>
        <w:rPr>
          <w:rFonts w:hint="eastAsia" w:eastAsia="宋体" w:cs="Times New Roman"/>
          <w:bCs/>
          <w:i/>
          <w:sz w:val="20"/>
          <w:szCs w:val="20"/>
        </w:rPr>
        <w:t>T</w:t>
      </w:r>
      <w:r>
        <w:rPr>
          <w:rFonts w:cs="Times New Roman"/>
          <w:bCs/>
          <w:i/>
          <w:sz w:val="20"/>
          <w:szCs w:val="20"/>
        </w:rPr>
        <w:t xml:space="preserve">x hopping, support </w:t>
      </w:r>
      <w:r>
        <w:rPr>
          <w:rFonts w:hint="eastAsia" w:eastAsia="宋体" w:cs="Times New Roman"/>
          <w:bCs/>
          <w:i/>
          <w:sz w:val="20"/>
          <w:szCs w:val="20"/>
        </w:rPr>
        <w:t>TRP</w:t>
      </w:r>
      <w:r>
        <w:rPr>
          <w:rFonts w:cs="Times New Roman"/>
          <w:bCs/>
          <w:i/>
          <w:sz w:val="20"/>
          <w:szCs w:val="20"/>
        </w:rPr>
        <w:t xml:space="preserve"> to report either</w:t>
      </w:r>
      <w:r>
        <w:rPr>
          <w:rFonts w:eastAsia="宋体"/>
          <w:bCs/>
          <w:i/>
          <w:iCs/>
          <w:sz w:val="20"/>
          <w:szCs w:val="20"/>
        </w:rPr>
        <w:t>.</w:t>
      </w:r>
    </w:p>
    <w:p>
      <w:pPr>
        <w:pStyle w:val="89"/>
        <w:keepNext w:val="0"/>
        <w:keepLines w:val="0"/>
        <w:pageBreakBefore w:val="0"/>
        <w:widowControl w:val="0"/>
        <w:numPr>
          <w:ilvl w:val="0"/>
          <w:numId w:val="8"/>
        </w:numPr>
        <w:kinsoku/>
        <w:wordWrap/>
        <w:topLinePunct w:val="0"/>
        <w:bidi w:val="0"/>
        <w:snapToGrid w:val="0"/>
        <w:spacing w:after="0" w:line="240" w:lineRule="auto"/>
        <w:rPr>
          <w:rFonts w:eastAsiaTheme="minorEastAsia"/>
          <w:i/>
          <w:sz w:val="20"/>
        </w:rPr>
      </w:pPr>
      <w:r>
        <w:rPr>
          <w:rFonts w:eastAsiaTheme="minorEastAsia"/>
          <w:i/>
          <w:sz w:val="20"/>
        </w:rPr>
        <w:t>A single measurement based on received multiple hops of</w:t>
      </w:r>
      <w:r>
        <w:rPr>
          <w:rFonts w:hint="eastAsia" w:eastAsiaTheme="minorEastAsia"/>
          <w:i/>
          <w:sz w:val="20"/>
          <w:lang w:eastAsia="zh-CN"/>
        </w:rPr>
        <w:t xml:space="preserve"> SRS</w:t>
      </w:r>
      <w:r>
        <w:rPr>
          <w:rFonts w:eastAsiaTheme="minorEastAsia"/>
          <w:i/>
          <w:sz w:val="20"/>
          <w:lang w:eastAsia="zh-CN"/>
        </w:rPr>
        <w:t>.</w:t>
      </w:r>
    </w:p>
    <w:p>
      <w:pPr>
        <w:pStyle w:val="89"/>
        <w:keepNext w:val="0"/>
        <w:keepLines w:val="0"/>
        <w:pageBreakBefore w:val="0"/>
        <w:widowControl w:val="0"/>
        <w:numPr>
          <w:ilvl w:val="1"/>
          <w:numId w:val="8"/>
        </w:numPr>
        <w:kinsoku/>
        <w:wordWrap/>
        <w:topLinePunct w:val="0"/>
        <w:bidi w:val="0"/>
        <w:snapToGrid w:val="0"/>
        <w:spacing w:after="0" w:line="240" w:lineRule="auto"/>
        <w:rPr>
          <w:rFonts w:eastAsiaTheme="minorEastAsia"/>
          <w:i/>
          <w:sz w:val="20"/>
        </w:rPr>
      </w:pPr>
      <w:r>
        <w:rPr>
          <w:rFonts w:hint="eastAsia" w:eastAsiaTheme="minorEastAsia"/>
          <w:i/>
          <w:sz w:val="20"/>
          <w:lang w:eastAsia="zh-CN"/>
        </w:rPr>
        <w:t>The corresponding hop indications should be reported as well</w:t>
      </w:r>
    </w:p>
    <w:p>
      <w:pPr>
        <w:pStyle w:val="89"/>
        <w:keepNext w:val="0"/>
        <w:keepLines w:val="0"/>
        <w:pageBreakBefore w:val="0"/>
        <w:widowControl w:val="0"/>
        <w:numPr>
          <w:ilvl w:val="0"/>
          <w:numId w:val="8"/>
        </w:numPr>
        <w:kinsoku/>
        <w:wordWrap/>
        <w:topLinePunct w:val="0"/>
        <w:bidi w:val="0"/>
        <w:snapToGrid w:val="0"/>
        <w:spacing w:after="0" w:line="240" w:lineRule="auto"/>
        <w:rPr>
          <w:rFonts w:eastAsiaTheme="minorEastAsia"/>
          <w:i/>
          <w:sz w:val="20"/>
        </w:rPr>
      </w:pPr>
      <w:r>
        <w:rPr>
          <w:rFonts w:eastAsiaTheme="minorEastAsia"/>
          <w:i/>
          <w:sz w:val="20"/>
        </w:rPr>
        <w:t>One single measurement which is associated with one received hop.</w:t>
      </w:r>
    </w:p>
    <w:p>
      <w:pPr>
        <w:pStyle w:val="89"/>
        <w:keepNext w:val="0"/>
        <w:keepLines w:val="0"/>
        <w:pageBreakBefore w:val="0"/>
        <w:widowControl w:val="0"/>
        <w:numPr>
          <w:ilvl w:val="1"/>
          <w:numId w:val="8"/>
        </w:numPr>
        <w:kinsoku/>
        <w:wordWrap/>
        <w:topLinePunct w:val="0"/>
        <w:bidi w:val="0"/>
        <w:snapToGrid w:val="0"/>
        <w:spacing w:after="0" w:line="240" w:lineRule="auto"/>
        <w:rPr>
          <w:rFonts w:eastAsiaTheme="minorEastAsia"/>
          <w:i/>
          <w:sz w:val="20"/>
        </w:rPr>
      </w:pPr>
      <w:r>
        <w:rPr>
          <w:rFonts w:hint="eastAsia" w:eastAsiaTheme="minorEastAsia"/>
          <w:i/>
          <w:sz w:val="20"/>
          <w:lang w:eastAsia="zh-CN"/>
        </w:rPr>
        <w:t>The hop indication should be reported as well</w:t>
      </w:r>
    </w:p>
    <w:p>
      <w:pPr>
        <w:pStyle w:val="49"/>
        <w:keepNext w:val="0"/>
        <w:keepLines w:val="0"/>
        <w:pageBreakBefore w:val="0"/>
        <w:kinsoku/>
        <w:wordWrap/>
        <w:topLinePunct w:val="0"/>
        <w:bidi w:val="0"/>
        <w:snapToGrid w:val="0"/>
        <w:spacing w:after="0" w:line="240" w:lineRule="auto"/>
        <w:ind w:firstLine="0" w:firstLineChars="0"/>
        <w:rPr>
          <w:rFonts w:hint="eastAsia" w:eastAsia="宋体"/>
          <w:b/>
          <w:bCs/>
          <w:i/>
          <w:iCs/>
          <w:sz w:val="20"/>
          <w:szCs w:val="20"/>
        </w:rPr>
      </w:pPr>
    </w:p>
    <w:p>
      <w:pPr>
        <w:pStyle w:val="49"/>
        <w:keepNext w:val="0"/>
        <w:keepLines w:val="0"/>
        <w:pageBreakBefore w:val="0"/>
        <w:kinsoku/>
        <w:wordWrap/>
        <w:topLinePunct w:val="0"/>
        <w:bidi w:val="0"/>
        <w:snapToGrid w:val="0"/>
        <w:spacing w:after="0" w:line="240" w:lineRule="auto"/>
        <w:ind w:firstLine="0" w:firstLineChars="0"/>
        <w:rPr>
          <w:rFonts w:eastAsia="MS Mincho" w:cs="Times New Roman"/>
          <w:i/>
          <w:sz w:val="20"/>
          <w:lang w:val="en-GB" w:eastAsia="ja-JP"/>
        </w:rPr>
      </w:pPr>
      <w:r>
        <w:rPr>
          <w:rFonts w:hint="eastAsia" w:eastAsia="宋体"/>
          <w:b/>
          <w:bCs/>
          <w:i/>
          <w:iCs/>
          <w:sz w:val="20"/>
          <w:szCs w:val="20"/>
        </w:rPr>
        <w:t xml:space="preserve">Proposal 8: </w:t>
      </w:r>
      <w:r>
        <w:rPr>
          <w:rFonts w:eastAsia="MS Mincho" w:cs="Times New Roman"/>
          <w:i/>
          <w:sz w:val="20"/>
          <w:lang w:val="en-GB" w:eastAsia="ja-JP"/>
        </w:rPr>
        <w:t xml:space="preserve">For RedCap UEs positioning transmitting the UL SRS with frequency hopping, regarding the collisions between other UL and DL signals/channels and the UL SRS with frequency hopping, </w:t>
      </w:r>
    </w:p>
    <w:p>
      <w:pPr>
        <w:pStyle w:val="49"/>
        <w:keepNext w:val="0"/>
        <w:keepLines w:val="0"/>
        <w:pageBreakBefore w:val="0"/>
        <w:numPr>
          <w:ilvl w:val="0"/>
          <w:numId w:val="9"/>
        </w:numPr>
        <w:kinsoku/>
        <w:wordWrap/>
        <w:topLinePunct w:val="0"/>
        <w:bidi w:val="0"/>
        <w:snapToGrid w:val="0"/>
        <w:spacing w:after="0" w:line="240" w:lineRule="auto"/>
        <w:ind w:firstLineChars="0"/>
        <w:rPr>
          <w:rFonts w:eastAsia="宋体"/>
          <w:bCs/>
          <w:i/>
          <w:iCs/>
          <w:sz w:val="20"/>
          <w:szCs w:val="20"/>
        </w:rPr>
      </w:pPr>
      <w:r>
        <w:rPr>
          <w:rFonts w:eastAsia="MS Mincho" w:cs="Times New Roman"/>
          <w:i/>
          <w:sz w:val="20"/>
          <w:lang w:val="en-GB" w:eastAsia="ja-JP"/>
        </w:rPr>
        <w:t>If the SRS hop is within the initial BWP, the existing dropping rule for RRC_CONNECTED state is reused.</w:t>
      </w:r>
    </w:p>
    <w:p>
      <w:pPr>
        <w:pStyle w:val="49"/>
        <w:keepNext w:val="0"/>
        <w:keepLines w:val="0"/>
        <w:pageBreakBefore w:val="0"/>
        <w:numPr>
          <w:ilvl w:val="0"/>
          <w:numId w:val="9"/>
        </w:numPr>
        <w:kinsoku/>
        <w:wordWrap/>
        <w:topLinePunct w:val="0"/>
        <w:bidi w:val="0"/>
        <w:snapToGrid w:val="0"/>
        <w:spacing w:after="0" w:line="240" w:lineRule="auto"/>
        <w:ind w:firstLineChars="0"/>
        <w:rPr>
          <w:rFonts w:eastAsia="宋体"/>
          <w:bCs/>
          <w:i/>
          <w:iCs/>
          <w:sz w:val="20"/>
          <w:szCs w:val="20"/>
        </w:rPr>
      </w:pPr>
      <w:r>
        <w:rPr>
          <w:rFonts w:eastAsia="宋体"/>
          <w:bCs/>
          <w:i/>
          <w:iCs/>
          <w:sz w:val="20"/>
          <w:szCs w:val="20"/>
        </w:rPr>
        <w:t>If the SRS hop is outside the initial BWP, Rel-17 defined rule for SRS outside initial BWP in RRC_INACTIVE state is reused, i.e. SRS has low priority.</w:t>
      </w:r>
    </w:p>
    <w:p>
      <w:pPr>
        <w:pStyle w:val="49"/>
        <w:keepNext w:val="0"/>
        <w:keepLines w:val="0"/>
        <w:pageBreakBefore w:val="0"/>
        <w:kinsoku/>
        <w:wordWrap/>
        <w:topLinePunct w:val="0"/>
        <w:bidi w:val="0"/>
        <w:snapToGrid w:val="0"/>
        <w:spacing w:after="0" w:line="240" w:lineRule="auto"/>
        <w:ind w:firstLine="0" w:firstLineChars="0"/>
        <w:rPr>
          <w:rFonts w:eastAsia="宋体"/>
          <w:b/>
          <w:bCs w:val="0"/>
          <w:i/>
          <w:iCs/>
          <w:sz w:val="20"/>
          <w:szCs w:val="20"/>
        </w:rPr>
      </w:pPr>
    </w:p>
    <w:p>
      <w:pPr>
        <w:pStyle w:val="49"/>
        <w:keepNext w:val="0"/>
        <w:keepLines w:val="0"/>
        <w:pageBreakBefore w:val="0"/>
        <w:kinsoku/>
        <w:wordWrap/>
        <w:topLinePunct w:val="0"/>
        <w:bidi w:val="0"/>
        <w:snapToGrid w:val="0"/>
        <w:spacing w:after="0" w:line="240" w:lineRule="auto"/>
        <w:ind w:firstLine="0" w:firstLineChars="0"/>
        <w:rPr>
          <w:rFonts w:eastAsia="宋体"/>
          <w:bCs/>
          <w:i/>
          <w:iCs/>
          <w:sz w:val="20"/>
          <w:szCs w:val="20"/>
        </w:rPr>
      </w:pPr>
      <w:r>
        <w:rPr>
          <w:rFonts w:eastAsia="宋体"/>
          <w:b/>
          <w:bCs w:val="0"/>
          <w:i/>
          <w:iCs/>
          <w:sz w:val="20"/>
          <w:szCs w:val="20"/>
        </w:rPr>
        <w:t xml:space="preserve">Proposal </w:t>
      </w:r>
      <w:r>
        <w:rPr>
          <w:rFonts w:hint="eastAsia" w:eastAsia="宋体"/>
          <w:b/>
          <w:bCs w:val="0"/>
          <w:i/>
          <w:iCs/>
          <w:sz w:val="20"/>
          <w:szCs w:val="20"/>
        </w:rPr>
        <w:t>9</w:t>
      </w:r>
      <w:r>
        <w:rPr>
          <w:rFonts w:eastAsia="宋体"/>
          <w:b/>
          <w:bCs w:val="0"/>
          <w:i/>
          <w:iCs/>
          <w:sz w:val="20"/>
          <w:szCs w:val="20"/>
        </w:rPr>
        <w:t xml:space="preserve">: </w:t>
      </w:r>
      <w:r>
        <w:rPr>
          <w:rFonts w:eastAsia="宋体"/>
          <w:bCs/>
          <w:i/>
          <w:iCs/>
          <w:sz w:val="20"/>
          <w:szCs w:val="20"/>
        </w:rPr>
        <w:t>Only single hop CP measurement is reported.</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FFS the first hop</w:t>
      </w:r>
    </w:p>
    <w:p>
      <w:pPr>
        <w:pStyle w:val="49"/>
        <w:keepNext w:val="0"/>
        <w:keepLines w:val="0"/>
        <w:pageBreakBefore w:val="0"/>
        <w:kinsoku/>
        <w:wordWrap/>
        <w:topLinePunct w:val="0"/>
        <w:bidi w:val="0"/>
        <w:snapToGrid w:val="0"/>
        <w:spacing w:after="0" w:line="240" w:lineRule="auto"/>
        <w:ind w:firstLine="0" w:firstLineChars="0"/>
        <w:rPr>
          <w:rFonts w:hint="eastAsia" w:eastAsia="宋体"/>
          <w:b/>
          <w:bCs/>
          <w:i/>
          <w:iCs/>
          <w:sz w:val="20"/>
          <w:szCs w:val="20"/>
        </w:rPr>
      </w:pPr>
    </w:p>
    <w:p>
      <w:pPr>
        <w:pStyle w:val="49"/>
        <w:keepNext w:val="0"/>
        <w:keepLines w:val="0"/>
        <w:pageBreakBefore w:val="0"/>
        <w:kinsoku/>
        <w:wordWrap/>
        <w:topLinePunct w:val="0"/>
        <w:bidi w:val="0"/>
        <w:snapToGrid w:val="0"/>
        <w:spacing w:after="0" w:line="240" w:lineRule="auto"/>
        <w:ind w:firstLine="0" w:firstLineChars="0"/>
        <w:rPr>
          <w:rFonts w:eastAsia="宋体"/>
          <w:bCs/>
          <w:iCs/>
          <w:sz w:val="20"/>
          <w:szCs w:val="20"/>
        </w:rPr>
      </w:pPr>
      <w:r>
        <w:rPr>
          <w:rFonts w:hint="eastAsia" w:eastAsia="宋体"/>
          <w:b/>
          <w:bCs/>
          <w:i/>
          <w:iCs/>
          <w:sz w:val="20"/>
          <w:szCs w:val="20"/>
        </w:rPr>
        <w:t xml:space="preserve">Proposal </w:t>
      </w:r>
      <w:r>
        <w:rPr>
          <w:rFonts w:eastAsia="宋体"/>
          <w:b/>
          <w:bCs/>
          <w:i/>
          <w:iCs/>
          <w:sz w:val="20"/>
          <w:szCs w:val="20"/>
        </w:rPr>
        <w:t>1</w:t>
      </w:r>
      <w:r>
        <w:rPr>
          <w:rFonts w:hint="eastAsia" w:eastAsia="宋体"/>
          <w:b/>
          <w:bCs/>
          <w:i/>
          <w:iCs/>
          <w:sz w:val="20"/>
          <w:szCs w:val="20"/>
        </w:rPr>
        <w:t xml:space="preserve">0: </w:t>
      </w:r>
      <w:r>
        <w:rPr>
          <w:rFonts w:eastAsia="宋体"/>
          <w:bCs/>
          <w:i/>
          <w:iCs/>
          <w:sz w:val="20"/>
          <w:szCs w:val="20"/>
        </w:rPr>
        <w:t>The parameters are recommended for higher layer.</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maximum number of support</w:t>
      </w:r>
      <w:r>
        <w:rPr>
          <w:rFonts w:hint="eastAsia"/>
          <w:bCs/>
          <w:i/>
          <w:iCs/>
          <w:sz w:val="20"/>
          <w:lang w:eastAsia="zh-CN"/>
        </w:rPr>
        <w:t>ed</w:t>
      </w:r>
      <w:r>
        <w:rPr>
          <w:bCs/>
          <w:i/>
          <w:iCs/>
          <w:sz w:val="20"/>
        </w:rPr>
        <w:t xml:space="preserve"> frequency hops [1,2, ..., 5]</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overlapping PRB(s) between adjacent hops or a capability on the maximum equivalent bandwidth after combing all hops [0,1,2, 4]</w:t>
      </w:r>
    </w:p>
    <w:p>
      <w:pPr>
        <w:pStyle w:val="89"/>
        <w:keepNext w:val="0"/>
        <w:keepLines w:val="0"/>
        <w:pageBreakBefore w:val="0"/>
        <w:widowControl w:val="0"/>
        <w:numPr>
          <w:ilvl w:val="0"/>
          <w:numId w:val="8"/>
        </w:numPr>
        <w:kinsoku/>
        <w:wordWrap/>
        <w:topLinePunct w:val="0"/>
        <w:bidi w:val="0"/>
        <w:snapToGrid w:val="0"/>
        <w:spacing w:after="0" w:line="240" w:lineRule="auto"/>
        <w:rPr>
          <w:bCs/>
          <w:i/>
          <w:iCs/>
          <w:sz w:val="20"/>
        </w:rPr>
      </w:pPr>
      <w:r>
        <w:rPr>
          <w:bCs/>
          <w:i/>
          <w:iCs/>
          <w:sz w:val="20"/>
        </w:rPr>
        <w:t>UE capability on support of on-demand PRS with Rx hopping [Yes/No]</w:t>
      </w:r>
    </w:p>
    <w:p>
      <w:pPr>
        <w:widowControl w:val="0"/>
        <w:snapToGrid w:val="0"/>
        <w:spacing w:before="180" w:beforeLines="50" w:after="180" w:afterLines="50" w:line="240" w:lineRule="auto"/>
        <w:jc w:val="both"/>
        <w:rPr>
          <w:rFonts w:ascii="Times New Roman" w:hAnsi="Times New Roman" w:eastAsiaTheme="minorEastAsia"/>
          <w:sz w:val="20"/>
          <w:szCs w:val="20"/>
        </w:rPr>
      </w:pPr>
    </w:p>
    <w:p>
      <w:pPr>
        <w:pStyle w:val="2"/>
        <w:snapToGrid w:val="0"/>
        <w:spacing w:before="120" w:after="180" w:afterLines="50" w:line="240" w:lineRule="auto"/>
        <w:ind w:left="431" w:hanging="431"/>
        <w:jc w:val="both"/>
        <w:rPr>
          <w:sz w:val="28"/>
          <w:lang w:val="en-US"/>
        </w:rPr>
      </w:pPr>
      <w:r>
        <w:rPr>
          <w:rFonts w:hint="eastAsia"/>
          <w:sz w:val="28"/>
          <w:lang w:val="en-US"/>
        </w:rPr>
        <w:t>Reference</w:t>
      </w:r>
    </w:p>
    <w:p>
      <w:pPr>
        <w:numPr>
          <w:ilvl w:val="0"/>
          <w:numId w:val="10"/>
        </w:numPr>
        <w:autoSpaceDE w:val="0"/>
        <w:autoSpaceDN w:val="0"/>
        <w:adjustRightInd w:val="0"/>
        <w:snapToGrid w:val="0"/>
        <w:spacing w:after="0" w:line="240" w:lineRule="auto"/>
        <w:jc w:val="both"/>
        <w:rPr>
          <w:rFonts w:ascii="Times New Roman" w:hAnsi="Times New Roman" w:cs="Times New Roman"/>
          <w:sz w:val="20"/>
          <w:szCs w:val="20"/>
        </w:rPr>
      </w:pPr>
      <w:bookmarkStart w:id="10" w:name="_Ref130907638"/>
      <w:r>
        <w:rPr>
          <w:rFonts w:ascii="Times New Roman" w:hAnsi="Times New Roman" w:cs="Times New Roman"/>
          <w:sz w:val="20"/>
          <w:szCs w:val="20"/>
        </w:rPr>
        <w:t>3GPP, Draft_Minutes_report_RAN1#112b-e_v010, 3GPP RAN1#112bis-e, 17</w:t>
      </w:r>
      <w:r>
        <w:rPr>
          <w:rFonts w:ascii="Times New Roman" w:hAnsi="Times New Roman" w:cs="Times New Roman"/>
          <w:sz w:val="20"/>
          <w:szCs w:val="20"/>
          <w:vertAlign w:val="superscript"/>
        </w:rPr>
        <w:t>th</w:t>
      </w:r>
      <w:r>
        <w:rPr>
          <w:rFonts w:ascii="Times New Roman" w:hAnsi="Times New Roman" w:cs="Times New Roman"/>
          <w:sz w:val="20"/>
          <w:szCs w:val="20"/>
        </w:rPr>
        <w:t xml:space="preserve"> - 26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April 2023.</w:t>
      </w:r>
      <w:bookmarkEnd w:id="10"/>
    </w:p>
    <w:p>
      <w:pPr>
        <w:numPr>
          <w:ilvl w:val="0"/>
          <w:numId w:val="10"/>
        </w:numPr>
        <w:autoSpaceDE w:val="0"/>
        <w:autoSpaceDN w:val="0"/>
        <w:adjustRightInd w:val="0"/>
        <w:snapToGrid w:val="0"/>
        <w:spacing w:after="0" w:line="240" w:lineRule="auto"/>
        <w:jc w:val="both"/>
        <w:rPr>
          <w:rFonts w:ascii="Times New Roman" w:hAnsi="Times New Roman" w:eastAsia="宋体" w:cs="Times New Roman"/>
          <w:sz w:val="20"/>
          <w:szCs w:val="20"/>
        </w:rPr>
      </w:pPr>
      <w:bookmarkStart w:id="11" w:name="_Ref130993226"/>
      <w:r>
        <w:rPr>
          <w:rFonts w:ascii="Times New Roman" w:hAnsi="Times New Roman" w:eastAsia="宋体" w:cs="Times New Roman"/>
          <w:sz w:val="20"/>
          <w:szCs w:val="20"/>
        </w:rPr>
        <w:t>TS38.214, NR Physical layer procedures for data (Release 17) V17.4.0, 2022-12.</w:t>
      </w:r>
      <w:bookmarkEnd w:id="11"/>
    </w:p>
    <w:p>
      <w:pPr>
        <w:numPr>
          <w:ilvl w:val="0"/>
          <w:numId w:val="10"/>
        </w:numPr>
        <w:autoSpaceDE w:val="0"/>
        <w:autoSpaceDN w:val="0"/>
        <w:adjustRightInd w:val="0"/>
        <w:snapToGrid w:val="0"/>
        <w:spacing w:after="0" w:line="240" w:lineRule="auto"/>
        <w:jc w:val="both"/>
        <w:rPr>
          <w:rFonts w:ascii="Times New Roman" w:hAnsi="Times New Roman" w:eastAsia="宋体" w:cs="Times New Roman"/>
          <w:sz w:val="20"/>
          <w:szCs w:val="20"/>
        </w:rPr>
      </w:pPr>
      <w:bookmarkStart w:id="12" w:name="_Ref131069883"/>
      <w:r>
        <w:rPr>
          <w:rFonts w:ascii="Times New Roman" w:hAnsi="Times New Roman" w:eastAsia="宋体" w:cs="Times New Roman"/>
          <w:sz w:val="20"/>
          <w:szCs w:val="20"/>
        </w:rPr>
        <w:t>TS38.305, NG Radio Access Network (NG-RAN) Stage 2 functional specification of User Equipment (UE) positioning in NG-RAN (Release 17) V17.2.0, 2022-09.</w:t>
      </w:r>
      <w:bookmarkEnd w:id="12"/>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E7E1915"/>
    <w:multiLevelType w:val="multilevel"/>
    <w:tmpl w:val="0E7E1915"/>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1FBB0559"/>
    <w:multiLevelType w:val="multilevel"/>
    <w:tmpl w:val="1FBB0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DB69FF"/>
    <w:multiLevelType w:val="multilevel"/>
    <w:tmpl w:val="26DB69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3"/>
      <w:lvlText w:val="Proposal %1"/>
      <w:lvlJc w:val="left"/>
      <w:pPr>
        <w:tabs>
          <w:tab w:val="left" w:pos="1730"/>
        </w:tabs>
        <w:ind w:left="1730"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6"/>
      <w:numFmt w:val="bullet"/>
      <w:lvlText w:val="-"/>
      <w:lvlJc w:val="left"/>
      <w:pPr>
        <w:ind w:left="2880" w:hanging="360"/>
      </w:pPr>
      <w:rPr>
        <w:rFonts w:hint="default" w:ascii="Arial" w:hAnsi="Arial" w:eastAsia="Times New Roman" w:cs="Aria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5E81584D"/>
    <w:multiLevelType w:val="multilevel"/>
    <w:tmpl w:val="5E8158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D992422"/>
    <w:multiLevelType w:val="multilevel"/>
    <w:tmpl w:val="7D99242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6"/>
  </w:num>
  <w:num w:numId="2">
    <w:abstractNumId w:val="5"/>
  </w:num>
  <w:num w:numId="3">
    <w:abstractNumId w:val="4"/>
  </w:num>
  <w:num w:numId="4">
    <w:abstractNumId w:val="2"/>
  </w:num>
  <w:num w:numId="5">
    <w:abstractNumId w:val="8"/>
  </w:num>
  <w:num w:numId="6">
    <w:abstractNumId w:val="9"/>
  </w:num>
  <w:num w:numId="7">
    <w:abstractNumId w:val="3"/>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0D35"/>
    <w:rsid w:val="000011D1"/>
    <w:rsid w:val="000013D2"/>
    <w:rsid w:val="0000161E"/>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0C2"/>
    <w:rsid w:val="000042BE"/>
    <w:rsid w:val="000046BC"/>
    <w:rsid w:val="000047CE"/>
    <w:rsid w:val="00004C4A"/>
    <w:rsid w:val="00004C91"/>
    <w:rsid w:val="00004CC4"/>
    <w:rsid w:val="000050C3"/>
    <w:rsid w:val="00005308"/>
    <w:rsid w:val="0000535F"/>
    <w:rsid w:val="00005767"/>
    <w:rsid w:val="00005AF1"/>
    <w:rsid w:val="00005BCC"/>
    <w:rsid w:val="00005C22"/>
    <w:rsid w:val="00006227"/>
    <w:rsid w:val="000062AC"/>
    <w:rsid w:val="000063B4"/>
    <w:rsid w:val="000066E7"/>
    <w:rsid w:val="00006A0E"/>
    <w:rsid w:val="00006B81"/>
    <w:rsid w:val="00006EAC"/>
    <w:rsid w:val="0000705B"/>
    <w:rsid w:val="00007304"/>
    <w:rsid w:val="00007440"/>
    <w:rsid w:val="00007579"/>
    <w:rsid w:val="000076AE"/>
    <w:rsid w:val="00007B7E"/>
    <w:rsid w:val="00007CBB"/>
    <w:rsid w:val="00010475"/>
    <w:rsid w:val="000104BB"/>
    <w:rsid w:val="000104F7"/>
    <w:rsid w:val="000105FC"/>
    <w:rsid w:val="0001060D"/>
    <w:rsid w:val="00010818"/>
    <w:rsid w:val="00010B8B"/>
    <w:rsid w:val="00010CDD"/>
    <w:rsid w:val="00010CF1"/>
    <w:rsid w:val="0001121E"/>
    <w:rsid w:val="000117D6"/>
    <w:rsid w:val="000117E8"/>
    <w:rsid w:val="00011871"/>
    <w:rsid w:val="00011968"/>
    <w:rsid w:val="00011A09"/>
    <w:rsid w:val="00011AE1"/>
    <w:rsid w:val="00011B88"/>
    <w:rsid w:val="000120EE"/>
    <w:rsid w:val="00012311"/>
    <w:rsid w:val="000124D2"/>
    <w:rsid w:val="000126FC"/>
    <w:rsid w:val="00012C56"/>
    <w:rsid w:val="00012C7B"/>
    <w:rsid w:val="00012D8B"/>
    <w:rsid w:val="000131FE"/>
    <w:rsid w:val="000132A0"/>
    <w:rsid w:val="000132A2"/>
    <w:rsid w:val="00013355"/>
    <w:rsid w:val="00013B7E"/>
    <w:rsid w:val="00013CCC"/>
    <w:rsid w:val="00013CE8"/>
    <w:rsid w:val="00013EF4"/>
    <w:rsid w:val="00013F3D"/>
    <w:rsid w:val="0001410B"/>
    <w:rsid w:val="000143CA"/>
    <w:rsid w:val="00014536"/>
    <w:rsid w:val="00014604"/>
    <w:rsid w:val="00014609"/>
    <w:rsid w:val="00014F4A"/>
    <w:rsid w:val="0001517C"/>
    <w:rsid w:val="0001519B"/>
    <w:rsid w:val="00015422"/>
    <w:rsid w:val="000155F7"/>
    <w:rsid w:val="00015601"/>
    <w:rsid w:val="00015B8B"/>
    <w:rsid w:val="00015CDC"/>
    <w:rsid w:val="00015D18"/>
    <w:rsid w:val="000161ED"/>
    <w:rsid w:val="000164F7"/>
    <w:rsid w:val="0001678E"/>
    <w:rsid w:val="00016A3B"/>
    <w:rsid w:val="00016BCB"/>
    <w:rsid w:val="0001709F"/>
    <w:rsid w:val="00017272"/>
    <w:rsid w:val="0001789B"/>
    <w:rsid w:val="00017D50"/>
    <w:rsid w:val="00017D87"/>
    <w:rsid w:val="00017DFA"/>
    <w:rsid w:val="00017FA4"/>
    <w:rsid w:val="000200D0"/>
    <w:rsid w:val="000204F1"/>
    <w:rsid w:val="000206F4"/>
    <w:rsid w:val="000207A5"/>
    <w:rsid w:val="0002084D"/>
    <w:rsid w:val="0002096E"/>
    <w:rsid w:val="00020A7D"/>
    <w:rsid w:val="00020E84"/>
    <w:rsid w:val="00020F23"/>
    <w:rsid w:val="000212A6"/>
    <w:rsid w:val="000213E7"/>
    <w:rsid w:val="00021473"/>
    <w:rsid w:val="00021825"/>
    <w:rsid w:val="00021E00"/>
    <w:rsid w:val="00021F18"/>
    <w:rsid w:val="0002206A"/>
    <w:rsid w:val="000221D5"/>
    <w:rsid w:val="000222E3"/>
    <w:rsid w:val="000225C7"/>
    <w:rsid w:val="000226F3"/>
    <w:rsid w:val="00022B66"/>
    <w:rsid w:val="00022C10"/>
    <w:rsid w:val="00022E7C"/>
    <w:rsid w:val="00023019"/>
    <w:rsid w:val="000230B7"/>
    <w:rsid w:val="0002336F"/>
    <w:rsid w:val="000234BF"/>
    <w:rsid w:val="000236EB"/>
    <w:rsid w:val="0002387B"/>
    <w:rsid w:val="00023951"/>
    <w:rsid w:val="000239CB"/>
    <w:rsid w:val="000239E7"/>
    <w:rsid w:val="00023BA7"/>
    <w:rsid w:val="00023D40"/>
    <w:rsid w:val="00023E8F"/>
    <w:rsid w:val="000240D2"/>
    <w:rsid w:val="00024168"/>
    <w:rsid w:val="000242BB"/>
    <w:rsid w:val="000243C7"/>
    <w:rsid w:val="00024477"/>
    <w:rsid w:val="00024496"/>
    <w:rsid w:val="000244B9"/>
    <w:rsid w:val="000244CA"/>
    <w:rsid w:val="0002489B"/>
    <w:rsid w:val="00024C3A"/>
    <w:rsid w:val="00024C89"/>
    <w:rsid w:val="00024E0F"/>
    <w:rsid w:val="0002523F"/>
    <w:rsid w:val="000254A2"/>
    <w:rsid w:val="0002565A"/>
    <w:rsid w:val="00025695"/>
    <w:rsid w:val="00025AF0"/>
    <w:rsid w:val="00025F82"/>
    <w:rsid w:val="00026022"/>
    <w:rsid w:val="000261B2"/>
    <w:rsid w:val="00026588"/>
    <w:rsid w:val="00026655"/>
    <w:rsid w:val="0002677B"/>
    <w:rsid w:val="000269FC"/>
    <w:rsid w:val="00026B95"/>
    <w:rsid w:val="00026C59"/>
    <w:rsid w:val="00026F3A"/>
    <w:rsid w:val="00026FAF"/>
    <w:rsid w:val="00027016"/>
    <w:rsid w:val="000271B7"/>
    <w:rsid w:val="000272FE"/>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95F"/>
    <w:rsid w:val="00034D44"/>
    <w:rsid w:val="00034EDF"/>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37FBE"/>
    <w:rsid w:val="00037FEA"/>
    <w:rsid w:val="00040013"/>
    <w:rsid w:val="000401B2"/>
    <w:rsid w:val="000402D7"/>
    <w:rsid w:val="0004040F"/>
    <w:rsid w:val="0004074B"/>
    <w:rsid w:val="000407DF"/>
    <w:rsid w:val="00040821"/>
    <w:rsid w:val="000409E6"/>
    <w:rsid w:val="00040C54"/>
    <w:rsid w:val="00040EB5"/>
    <w:rsid w:val="000410C9"/>
    <w:rsid w:val="00041377"/>
    <w:rsid w:val="00041567"/>
    <w:rsid w:val="00041A3C"/>
    <w:rsid w:val="00041CBB"/>
    <w:rsid w:val="00041D60"/>
    <w:rsid w:val="00041DF3"/>
    <w:rsid w:val="00041E3F"/>
    <w:rsid w:val="00041F46"/>
    <w:rsid w:val="00041F76"/>
    <w:rsid w:val="00042181"/>
    <w:rsid w:val="00042327"/>
    <w:rsid w:val="00042401"/>
    <w:rsid w:val="00042680"/>
    <w:rsid w:val="000426A3"/>
    <w:rsid w:val="000428A4"/>
    <w:rsid w:val="000428B0"/>
    <w:rsid w:val="000428FB"/>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6F8"/>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0CBF"/>
    <w:rsid w:val="0005133B"/>
    <w:rsid w:val="000515E3"/>
    <w:rsid w:val="0005197D"/>
    <w:rsid w:val="000519BD"/>
    <w:rsid w:val="00051A81"/>
    <w:rsid w:val="00051CF3"/>
    <w:rsid w:val="00052075"/>
    <w:rsid w:val="000523AB"/>
    <w:rsid w:val="0005241F"/>
    <w:rsid w:val="000524A5"/>
    <w:rsid w:val="00052560"/>
    <w:rsid w:val="000527EC"/>
    <w:rsid w:val="0005282C"/>
    <w:rsid w:val="00052D5E"/>
    <w:rsid w:val="00052E69"/>
    <w:rsid w:val="00053024"/>
    <w:rsid w:val="00053210"/>
    <w:rsid w:val="000535F7"/>
    <w:rsid w:val="00053845"/>
    <w:rsid w:val="00053B2B"/>
    <w:rsid w:val="00053B51"/>
    <w:rsid w:val="00053B5A"/>
    <w:rsid w:val="00053C10"/>
    <w:rsid w:val="00053CCB"/>
    <w:rsid w:val="00053D1C"/>
    <w:rsid w:val="00053DFE"/>
    <w:rsid w:val="00054087"/>
    <w:rsid w:val="00054256"/>
    <w:rsid w:val="000547CC"/>
    <w:rsid w:val="000549B3"/>
    <w:rsid w:val="00054C42"/>
    <w:rsid w:val="00054C9F"/>
    <w:rsid w:val="00054CD0"/>
    <w:rsid w:val="00054F38"/>
    <w:rsid w:val="0005504B"/>
    <w:rsid w:val="0005518E"/>
    <w:rsid w:val="00055399"/>
    <w:rsid w:val="0005544D"/>
    <w:rsid w:val="00055624"/>
    <w:rsid w:val="00055A4A"/>
    <w:rsid w:val="00055A77"/>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718"/>
    <w:rsid w:val="000608F1"/>
    <w:rsid w:val="00060D2E"/>
    <w:rsid w:val="00061173"/>
    <w:rsid w:val="0006125B"/>
    <w:rsid w:val="00061449"/>
    <w:rsid w:val="00061786"/>
    <w:rsid w:val="000617E2"/>
    <w:rsid w:val="000618E0"/>
    <w:rsid w:val="00061A1F"/>
    <w:rsid w:val="000621C1"/>
    <w:rsid w:val="0006241D"/>
    <w:rsid w:val="000624B4"/>
    <w:rsid w:val="00062642"/>
    <w:rsid w:val="00062822"/>
    <w:rsid w:val="0006284A"/>
    <w:rsid w:val="000628BC"/>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0D2"/>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DBA"/>
    <w:rsid w:val="00067F5A"/>
    <w:rsid w:val="00067F5C"/>
    <w:rsid w:val="000701BA"/>
    <w:rsid w:val="000701CF"/>
    <w:rsid w:val="00070445"/>
    <w:rsid w:val="0007047F"/>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808"/>
    <w:rsid w:val="000759CA"/>
    <w:rsid w:val="00075AEE"/>
    <w:rsid w:val="00075AF7"/>
    <w:rsid w:val="00075B3A"/>
    <w:rsid w:val="00075B85"/>
    <w:rsid w:val="00075C16"/>
    <w:rsid w:val="00075C3E"/>
    <w:rsid w:val="00075F4B"/>
    <w:rsid w:val="00076144"/>
    <w:rsid w:val="00076153"/>
    <w:rsid w:val="0007623B"/>
    <w:rsid w:val="000762F9"/>
    <w:rsid w:val="0007696E"/>
    <w:rsid w:val="00076AA5"/>
    <w:rsid w:val="00077057"/>
    <w:rsid w:val="0007737B"/>
    <w:rsid w:val="0007740B"/>
    <w:rsid w:val="000774C1"/>
    <w:rsid w:val="0007774C"/>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BC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216"/>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BEA"/>
    <w:rsid w:val="00086BEE"/>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4F"/>
    <w:rsid w:val="00091174"/>
    <w:rsid w:val="00091243"/>
    <w:rsid w:val="00091473"/>
    <w:rsid w:val="0009150C"/>
    <w:rsid w:val="00091643"/>
    <w:rsid w:val="000916EF"/>
    <w:rsid w:val="00091B56"/>
    <w:rsid w:val="00091B58"/>
    <w:rsid w:val="00091C8A"/>
    <w:rsid w:val="00091CE9"/>
    <w:rsid w:val="00092167"/>
    <w:rsid w:val="000924E7"/>
    <w:rsid w:val="00092581"/>
    <w:rsid w:val="00092994"/>
    <w:rsid w:val="00092A12"/>
    <w:rsid w:val="00092D8B"/>
    <w:rsid w:val="00092FD1"/>
    <w:rsid w:val="00093184"/>
    <w:rsid w:val="000931CC"/>
    <w:rsid w:val="00093461"/>
    <w:rsid w:val="000934B3"/>
    <w:rsid w:val="0009373E"/>
    <w:rsid w:val="00093A8C"/>
    <w:rsid w:val="00093E4D"/>
    <w:rsid w:val="00093E86"/>
    <w:rsid w:val="00093E9C"/>
    <w:rsid w:val="00093F5D"/>
    <w:rsid w:val="000941B1"/>
    <w:rsid w:val="000941FB"/>
    <w:rsid w:val="0009430A"/>
    <w:rsid w:val="0009435F"/>
    <w:rsid w:val="00094411"/>
    <w:rsid w:val="000945F6"/>
    <w:rsid w:val="00094702"/>
    <w:rsid w:val="00094955"/>
    <w:rsid w:val="00094965"/>
    <w:rsid w:val="00094F66"/>
    <w:rsid w:val="0009503C"/>
    <w:rsid w:val="00095192"/>
    <w:rsid w:val="00095273"/>
    <w:rsid w:val="0009534B"/>
    <w:rsid w:val="00095487"/>
    <w:rsid w:val="000955EE"/>
    <w:rsid w:val="000961BF"/>
    <w:rsid w:val="000961DD"/>
    <w:rsid w:val="0009661E"/>
    <w:rsid w:val="00096813"/>
    <w:rsid w:val="0009691B"/>
    <w:rsid w:val="000969E4"/>
    <w:rsid w:val="00096B65"/>
    <w:rsid w:val="00096D83"/>
    <w:rsid w:val="00096EAA"/>
    <w:rsid w:val="00096F56"/>
    <w:rsid w:val="00097059"/>
    <w:rsid w:val="00097067"/>
    <w:rsid w:val="00097071"/>
    <w:rsid w:val="00097072"/>
    <w:rsid w:val="00097A1D"/>
    <w:rsid w:val="00097B65"/>
    <w:rsid w:val="00097E1C"/>
    <w:rsid w:val="000A00B5"/>
    <w:rsid w:val="000A0121"/>
    <w:rsid w:val="000A0279"/>
    <w:rsid w:val="000A02F9"/>
    <w:rsid w:val="000A04ED"/>
    <w:rsid w:val="000A0622"/>
    <w:rsid w:val="000A09FA"/>
    <w:rsid w:val="000A0B53"/>
    <w:rsid w:val="000A0D35"/>
    <w:rsid w:val="000A0F1F"/>
    <w:rsid w:val="000A0F8D"/>
    <w:rsid w:val="000A0FE4"/>
    <w:rsid w:val="000A129C"/>
    <w:rsid w:val="000A14DE"/>
    <w:rsid w:val="000A1551"/>
    <w:rsid w:val="000A1619"/>
    <w:rsid w:val="000A17FC"/>
    <w:rsid w:val="000A18AD"/>
    <w:rsid w:val="000A1906"/>
    <w:rsid w:val="000A19AB"/>
    <w:rsid w:val="000A1ADC"/>
    <w:rsid w:val="000A1D1E"/>
    <w:rsid w:val="000A1D48"/>
    <w:rsid w:val="000A213A"/>
    <w:rsid w:val="000A22ED"/>
    <w:rsid w:val="000A23D8"/>
    <w:rsid w:val="000A2499"/>
    <w:rsid w:val="000A24F6"/>
    <w:rsid w:val="000A28AB"/>
    <w:rsid w:val="000A2A87"/>
    <w:rsid w:val="000A2AFD"/>
    <w:rsid w:val="000A2C04"/>
    <w:rsid w:val="000A2E6C"/>
    <w:rsid w:val="000A3204"/>
    <w:rsid w:val="000A3285"/>
    <w:rsid w:val="000A32A0"/>
    <w:rsid w:val="000A3B96"/>
    <w:rsid w:val="000A3F7F"/>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5A04"/>
    <w:rsid w:val="000A5B57"/>
    <w:rsid w:val="000A611E"/>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65F"/>
    <w:rsid w:val="000B2A03"/>
    <w:rsid w:val="000B2A46"/>
    <w:rsid w:val="000B2DB7"/>
    <w:rsid w:val="000B2E28"/>
    <w:rsid w:val="000B2EFD"/>
    <w:rsid w:val="000B2F1B"/>
    <w:rsid w:val="000B3071"/>
    <w:rsid w:val="000B3231"/>
    <w:rsid w:val="000B354B"/>
    <w:rsid w:val="000B3686"/>
    <w:rsid w:val="000B36BD"/>
    <w:rsid w:val="000B3705"/>
    <w:rsid w:val="000B38BA"/>
    <w:rsid w:val="000B3A64"/>
    <w:rsid w:val="000B3D6E"/>
    <w:rsid w:val="000B3FDC"/>
    <w:rsid w:val="000B40EA"/>
    <w:rsid w:val="000B40FD"/>
    <w:rsid w:val="000B44FE"/>
    <w:rsid w:val="000B46EC"/>
    <w:rsid w:val="000B4809"/>
    <w:rsid w:val="000B4871"/>
    <w:rsid w:val="000B495B"/>
    <w:rsid w:val="000B4BA3"/>
    <w:rsid w:val="000B4CCB"/>
    <w:rsid w:val="000B50F3"/>
    <w:rsid w:val="000B5BA6"/>
    <w:rsid w:val="000B5E1C"/>
    <w:rsid w:val="000B611B"/>
    <w:rsid w:val="000B6191"/>
    <w:rsid w:val="000B6496"/>
    <w:rsid w:val="000B67B6"/>
    <w:rsid w:val="000B683C"/>
    <w:rsid w:val="000B6875"/>
    <w:rsid w:val="000B6AA3"/>
    <w:rsid w:val="000B6CCA"/>
    <w:rsid w:val="000B6E27"/>
    <w:rsid w:val="000B72BD"/>
    <w:rsid w:val="000B7312"/>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BBC"/>
    <w:rsid w:val="000C3921"/>
    <w:rsid w:val="000C3A74"/>
    <w:rsid w:val="000C3AB4"/>
    <w:rsid w:val="000C3AD9"/>
    <w:rsid w:val="000C4725"/>
    <w:rsid w:val="000C4D3B"/>
    <w:rsid w:val="000C4E4B"/>
    <w:rsid w:val="000C4ECD"/>
    <w:rsid w:val="000C4F2F"/>
    <w:rsid w:val="000C4F62"/>
    <w:rsid w:val="000C50C0"/>
    <w:rsid w:val="000C5343"/>
    <w:rsid w:val="000C53A1"/>
    <w:rsid w:val="000C556D"/>
    <w:rsid w:val="000C58E3"/>
    <w:rsid w:val="000C5AFE"/>
    <w:rsid w:val="000C5B0A"/>
    <w:rsid w:val="000C5BD2"/>
    <w:rsid w:val="000C6180"/>
    <w:rsid w:val="000C6415"/>
    <w:rsid w:val="000C64C0"/>
    <w:rsid w:val="000C6A81"/>
    <w:rsid w:val="000C6B0F"/>
    <w:rsid w:val="000C6BDA"/>
    <w:rsid w:val="000C6E60"/>
    <w:rsid w:val="000C6F96"/>
    <w:rsid w:val="000C78F5"/>
    <w:rsid w:val="000C7A0C"/>
    <w:rsid w:val="000C7AE4"/>
    <w:rsid w:val="000D004C"/>
    <w:rsid w:val="000D021D"/>
    <w:rsid w:val="000D0228"/>
    <w:rsid w:val="000D06E9"/>
    <w:rsid w:val="000D0C2E"/>
    <w:rsid w:val="000D11A2"/>
    <w:rsid w:val="000D121B"/>
    <w:rsid w:val="000D12AC"/>
    <w:rsid w:val="000D140E"/>
    <w:rsid w:val="000D1629"/>
    <w:rsid w:val="000D1708"/>
    <w:rsid w:val="000D17F4"/>
    <w:rsid w:val="000D1B9D"/>
    <w:rsid w:val="000D211B"/>
    <w:rsid w:val="000D2412"/>
    <w:rsid w:val="000D28D4"/>
    <w:rsid w:val="000D2943"/>
    <w:rsid w:val="000D29B8"/>
    <w:rsid w:val="000D29ED"/>
    <w:rsid w:val="000D368E"/>
    <w:rsid w:val="000D37BF"/>
    <w:rsid w:val="000D3BE5"/>
    <w:rsid w:val="000D3F2D"/>
    <w:rsid w:val="000D3FD9"/>
    <w:rsid w:val="000D40CE"/>
    <w:rsid w:val="000D446A"/>
    <w:rsid w:val="000D4481"/>
    <w:rsid w:val="000D4492"/>
    <w:rsid w:val="000D463D"/>
    <w:rsid w:val="000D4979"/>
    <w:rsid w:val="000D4ECB"/>
    <w:rsid w:val="000D4F5B"/>
    <w:rsid w:val="000D5134"/>
    <w:rsid w:val="000D55BB"/>
    <w:rsid w:val="000D5832"/>
    <w:rsid w:val="000D592D"/>
    <w:rsid w:val="000D5942"/>
    <w:rsid w:val="000D5A96"/>
    <w:rsid w:val="000D5CE2"/>
    <w:rsid w:val="000D5EAA"/>
    <w:rsid w:val="000D5FB2"/>
    <w:rsid w:val="000D634B"/>
    <w:rsid w:val="000D6569"/>
    <w:rsid w:val="000D6585"/>
    <w:rsid w:val="000D658D"/>
    <w:rsid w:val="000D679A"/>
    <w:rsid w:val="000D6849"/>
    <w:rsid w:val="000D6B11"/>
    <w:rsid w:val="000D6C4E"/>
    <w:rsid w:val="000D744C"/>
    <w:rsid w:val="000D74AE"/>
    <w:rsid w:val="000D74D2"/>
    <w:rsid w:val="000D74E6"/>
    <w:rsid w:val="000D7972"/>
    <w:rsid w:val="000D7C6A"/>
    <w:rsid w:val="000E0137"/>
    <w:rsid w:val="000E020B"/>
    <w:rsid w:val="000E0483"/>
    <w:rsid w:val="000E0670"/>
    <w:rsid w:val="000E0725"/>
    <w:rsid w:val="000E0C5D"/>
    <w:rsid w:val="000E0CA0"/>
    <w:rsid w:val="000E0D9C"/>
    <w:rsid w:val="000E0DCF"/>
    <w:rsid w:val="000E0E4A"/>
    <w:rsid w:val="000E1063"/>
    <w:rsid w:val="000E1242"/>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225"/>
    <w:rsid w:val="000E443F"/>
    <w:rsid w:val="000E4662"/>
    <w:rsid w:val="000E46D5"/>
    <w:rsid w:val="000E4935"/>
    <w:rsid w:val="000E49A4"/>
    <w:rsid w:val="000E4B60"/>
    <w:rsid w:val="000E4C01"/>
    <w:rsid w:val="000E4D5F"/>
    <w:rsid w:val="000E4F3C"/>
    <w:rsid w:val="000E52D7"/>
    <w:rsid w:val="000E54D2"/>
    <w:rsid w:val="000E5626"/>
    <w:rsid w:val="000E597D"/>
    <w:rsid w:val="000E5AFB"/>
    <w:rsid w:val="000E5B83"/>
    <w:rsid w:val="000E5CDE"/>
    <w:rsid w:val="000E5FA7"/>
    <w:rsid w:val="000E609A"/>
    <w:rsid w:val="000E6165"/>
    <w:rsid w:val="000E6226"/>
    <w:rsid w:val="000E6834"/>
    <w:rsid w:val="000E6BC5"/>
    <w:rsid w:val="000E6CF9"/>
    <w:rsid w:val="000E6DA0"/>
    <w:rsid w:val="000E6FED"/>
    <w:rsid w:val="000E7101"/>
    <w:rsid w:val="000E7162"/>
    <w:rsid w:val="000E7450"/>
    <w:rsid w:val="000E75C4"/>
    <w:rsid w:val="000E77FC"/>
    <w:rsid w:val="000E7B5C"/>
    <w:rsid w:val="000E7BF3"/>
    <w:rsid w:val="000E7C6C"/>
    <w:rsid w:val="000E7D95"/>
    <w:rsid w:val="000F0169"/>
    <w:rsid w:val="000F0570"/>
    <w:rsid w:val="000F069D"/>
    <w:rsid w:val="000F0705"/>
    <w:rsid w:val="000F09A8"/>
    <w:rsid w:val="000F09FB"/>
    <w:rsid w:val="000F0A65"/>
    <w:rsid w:val="000F0BFC"/>
    <w:rsid w:val="000F0C10"/>
    <w:rsid w:val="000F0DAF"/>
    <w:rsid w:val="000F138A"/>
    <w:rsid w:val="000F180F"/>
    <w:rsid w:val="000F1919"/>
    <w:rsid w:val="000F1A7F"/>
    <w:rsid w:val="000F1AE8"/>
    <w:rsid w:val="000F1DD6"/>
    <w:rsid w:val="000F225C"/>
    <w:rsid w:val="000F23C6"/>
    <w:rsid w:val="000F242E"/>
    <w:rsid w:val="000F271E"/>
    <w:rsid w:val="000F27EA"/>
    <w:rsid w:val="000F281A"/>
    <w:rsid w:val="000F29BD"/>
    <w:rsid w:val="000F2D04"/>
    <w:rsid w:val="000F2F1A"/>
    <w:rsid w:val="000F2F1D"/>
    <w:rsid w:val="000F3589"/>
    <w:rsid w:val="000F35BE"/>
    <w:rsid w:val="000F37EB"/>
    <w:rsid w:val="000F3B6D"/>
    <w:rsid w:val="000F3BD5"/>
    <w:rsid w:val="000F43B9"/>
    <w:rsid w:val="000F4678"/>
    <w:rsid w:val="000F46E6"/>
    <w:rsid w:val="000F4A00"/>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21F"/>
    <w:rsid w:val="000F665E"/>
    <w:rsid w:val="000F6F4A"/>
    <w:rsid w:val="000F6F63"/>
    <w:rsid w:val="000F7055"/>
    <w:rsid w:val="000F7328"/>
    <w:rsid w:val="000F744C"/>
    <w:rsid w:val="000F7515"/>
    <w:rsid w:val="000F7565"/>
    <w:rsid w:val="000F7878"/>
    <w:rsid w:val="000F7A8A"/>
    <w:rsid w:val="000F7C8E"/>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607"/>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375"/>
    <w:rsid w:val="00106431"/>
    <w:rsid w:val="00106699"/>
    <w:rsid w:val="00106F20"/>
    <w:rsid w:val="00107175"/>
    <w:rsid w:val="00107183"/>
    <w:rsid w:val="001071DF"/>
    <w:rsid w:val="001073B9"/>
    <w:rsid w:val="0010769C"/>
    <w:rsid w:val="00107BCF"/>
    <w:rsid w:val="00107BE0"/>
    <w:rsid w:val="00110103"/>
    <w:rsid w:val="001102E6"/>
    <w:rsid w:val="0011048E"/>
    <w:rsid w:val="0011084B"/>
    <w:rsid w:val="00110925"/>
    <w:rsid w:val="00110E7D"/>
    <w:rsid w:val="001111C3"/>
    <w:rsid w:val="0011123E"/>
    <w:rsid w:val="00111251"/>
    <w:rsid w:val="0011189E"/>
    <w:rsid w:val="00111A07"/>
    <w:rsid w:val="001121E8"/>
    <w:rsid w:val="00112302"/>
    <w:rsid w:val="001124F9"/>
    <w:rsid w:val="00112685"/>
    <w:rsid w:val="0011277E"/>
    <w:rsid w:val="00113305"/>
    <w:rsid w:val="00113B8A"/>
    <w:rsid w:val="00113C2C"/>
    <w:rsid w:val="00113E60"/>
    <w:rsid w:val="00113EA6"/>
    <w:rsid w:val="00114336"/>
    <w:rsid w:val="00114389"/>
    <w:rsid w:val="00114523"/>
    <w:rsid w:val="0011494B"/>
    <w:rsid w:val="001149D6"/>
    <w:rsid w:val="001154B0"/>
    <w:rsid w:val="0011576D"/>
    <w:rsid w:val="001158D3"/>
    <w:rsid w:val="00115981"/>
    <w:rsid w:val="00115CDA"/>
    <w:rsid w:val="00115E72"/>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2"/>
    <w:rsid w:val="00121798"/>
    <w:rsid w:val="001218EA"/>
    <w:rsid w:val="00121F33"/>
    <w:rsid w:val="00122013"/>
    <w:rsid w:val="0012220D"/>
    <w:rsid w:val="00122423"/>
    <w:rsid w:val="0012253A"/>
    <w:rsid w:val="001225B6"/>
    <w:rsid w:val="001227F7"/>
    <w:rsid w:val="00122925"/>
    <w:rsid w:val="00122C7C"/>
    <w:rsid w:val="00123159"/>
    <w:rsid w:val="00123170"/>
    <w:rsid w:val="00123185"/>
    <w:rsid w:val="0012325D"/>
    <w:rsid w:val="001235B8"/>
    <w:rsid w:val="001235DA"/>
    <w:rsid w:val="00123619"/>
    <w:rsid w:val="001236A4"/>
    <w:rsid w:val="00123975"/>
    <w:rsid w:val="001239B6"/>
    <w:rsid w:val="00123A3F"/>
    <w:rsid w:val="00123ACC"/>
    <w:rsid w:val="00123AD8"/>
    <w:rsid w:val="00123C2E"/>
    <w:rsid w:val="001242CA"/>
    <w:rsid w:val="001243F0"/>
    <w:rsid w:val="00124618"/>
    <w:rsid w:val="001246AF"/>
    <w:rsid w:val="001246B8"/>
    <w:rsid w:val="001246D1"/>
    <w:rsid w:val="001248C2"/>
    <w:rsid w:val="00124B85"/>
    <w:rsid w:val="00124C08"/>
    <w:rsid w:val="00124CA0"/>
    <w:rsid w:val="001251B1"/>
    <w:rsid w:val="001251BD"/>
    <w:rsid w:val="00125201"/>
    <w:rsid w:val="00125463"/>
    <w:rsid w:val="00125515"/>
    <w:rsid w:val="001255A7"/>
    <w:rsid w:val="001255B2"/>
    <w:rsid w:val="0012582B"/>
    <w:rsid w:val="001258E2"/>
    <w:rsid w:val="00125DC2"/>
    <w:rsid w:val="00125E23"/>
    <w:rsid w:val="00125E2A"/>
    <w:rsid w:val="0012647A"/>
    <w:rsid w:val="001266BA"/>
    <w:rsid w:val="00126C68"/>
    <w:rsid w:val="00126D52"/>
    <w:rsid w:val="00126F05"/>
    <w:rsid w:val="0012733B"/>
    <w:rsid w:val="00127521"/>
    <w:rsid w:val="0012753A"/>
    <w:rsid w:val="001275FF"/>
    <w:rsid w:val="00127654"/>
    <w:rsid w:val="0012784C"/>
    <w:rsid w:val="00127906"/>
    <w:rsid w:val="00127AB8"/>
    <w:rsid w:val="00127BCF"/>
    <w:rsid w:val="00127BEB"/>
    <w:rsid w:val="00127E85"/>
    <w:rsid w:val="0013051A"/>
    <w:rsid w:val="001305C4"/>
    <w:rsid w:val="0013089E"/>
    <w:rsid w:val="001308BC"/>
    <w:rsid w:val="00130A41"/>
    <w:rsid w:val="00130AA2"/>
    <w:rsid w:val="00130B9D"/>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48CD"/>
    <w:rsid w:val="00134913"/>
    <w:rsid w:val="00135111"/>
    <w:rsid w:val="00135612"/>
    <w:rsid w:val="001357BA"/>
    <w:rsid w:val="00135843"/>
    <w:rsid w:val="0013589E"/>
    <w:rsid w:val="00135930"/>
    <w:rsid w:val="00135A0D"/>
    <w:rsid w:val="00135B3A"/>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248"/>
    <w:rsid w:val="001417C1"/>
    <w:rsid w:val="00141BA7"/>
    <w:rsid w:val="00141F2D"/>
    <w:rsid w:val="00142220"/>
    <w:rsid w:val="001422CC"/>
    <w:rsid w:val="001425FE"/>
    <w:rsid w:val="0014263B"/>
    <w:rsid w:val="0014269E"/>
    <w:rsid w:val="001427DF"/>
    <w:rsid w:val="001428E8"/>
    <w:rsid w:val="00142B53"/>
    <w:rsid w:val="00142C0D"/>
    <w:rsid w:val="00142E50"/>
    <w:rsid w:val="00142E5B"/>
    <w:rsid w:val="00143003"/>
    <w:rsid w:val="00143234"/>
    <w:rsid w:val="001433E4"/>
    <w:rsid w:val="0014396C"/>
    <w:rsid w:val="00143B11"/>
    <w:rsid w:val="00143CB7"/>
    <w:rsid w:val="00143D78"/>
    <w:rsid w:val="00143EDB"/>
    <w:rsid w:val="00144384"/>
    <w:rsid w:val="00144606"/>
    <w:rsid w:val="00144662"/>
    <w:rsid w:val="00144F9E"/>
    <w:rsid w:val="00145449"/>
    <w:rsid w:val="001455AD"/>
    <w:rsid w:val="0014596A"/>
    <w:rsid w:val="00145A0C"/>
    <w:rsid w:val="00145A5F"/>
    <w:rsid w:val="00145A82"/>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D39"/>
    <w:rsid w:val="00147D64"/>
    <w:rsid w:val="00147E93"/>
    <w:rsid w:val="00150084"/>
    <w:rsid w:val="001505F9"/>
    <w:rsid w:val="001506B2"/>
    <w:rsid w:val="00150842"/>
    <w:rsid w:val="00150ADE"/>
    <w:rsid w:val="00150ED9"/>
    <w:rsid w:val="00150F77"/>
    <w:rsid w:val="00150FC7"/>
    <w:rsid w:val="00151138"/>
    <w:rsid w:val="0015161E"/>
    <w:rsid w:val="00151C96"/>
    <w:rsid w:val="00151E9B"/>
    <w:rsid w:val="00151F56"/>
    <w:rsid w:val="001522BF"/>
    <w:rsid w:val="00152307"/>
    <w:rsid w:val="0015232E"/>
    <w:rsid w:val="0015279E"/>
    <w:rsid w:val="00152AC8"/>
    <w:rsid w:val="00152DF5"/>
    <w:rsid w:val="00153112"/>
    <w:rsid w:val="00153336"/>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0"/>
    <w:rsid w:val="0015646F"/>
    <w:rsid w:val="00156607"/>
    <w:rsid w:val="001569A0"/>
    <w:rsid w:val="00156A5E"/>
    <w:rsid w:val="00156B0C"/>
    <w:rsid w:val="00156DF1"/>
    <w:rsid w:val="00156DF4"/>
    <w:rsid w:val="00157047"/>
    <w:rsid w:val="0015722A"/>
    <w:rsid w:val="0015731C"/>
    <w:rsid w:val="00157434"/>
    <w:rsid w:val="0015755F"/>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BE1"/>
    <w:rsid w:val="00161C79"/>
    <w:rsid w:val="00161D9B"/>
    <w:rsid w:val="00161F55"/>
    <w:rsid w:val="00162050"/>
    <w:rsid w:val="0016258F"/>
    <w:rsid w:val="00162F22"/>
    <w:rsid w:val="001631A0"/>
    <w:rsid w:val="00163440"/>
    <w:rsid w:val="001635F8"/>
    <w:rsid w:val="00163633"/>
    <w:rsid w:val="00163658"/>
    <w:rsid w:val="00163D86"/>
    <w:rsid w:val="00163E62"/>
    <w:rsid w:val="00163FCF"/>
    <w:rsid w:val="001642BC"/>
    <w:rsid w:val="00164314"/>
    <w:rsid w:val="00164373"/>
    <w:rsid w:val="001646E4"/>
    <w:rsid w:val="00164BDB"/>
    <w:rsid w:val="0016507B"/>
    <w:rsid w:val="001650FE"/>
    <w:rsid w:val="001651BA"/>
    <w:rsid w:val="001651DB"/>
    <w:rsid w:val="00165200"/>
    <w:rsid w:val="00165224"/>
    <w:rsid w:val="00165292"/>
    <w:rsid w:val="0016537D"/>
    <w:rsid w:val="0016551B"/>
    <w:rsid w:val="001656DA"/>
    <w:rsid w:val="00165854"/>
    <w:rsid w:val="00165B03"/>
    <w:rsid w:val="00165B3E"/>
    <w:rsid w:val="00165C5C"/>
    <w:rsid w:val="00165CCB"/>
    <w:rsid w:val="00165F58"/>
    <w:rsid w:val="00165FCF"/>
    <w:rsid w:val="001663E1"/>
    <w:rsid w:val="001665A0"/>
    <w:rsid w:val="00166659"/>
    <w:rsid w:val="001669E5"/>
    <w:rsid w:val="00166C90"/>
    <w:rsid w:val="00166E49"/>
    <w:rsid w:val="00166EFA"/>
    <w:rsid w:val="00166FC6"/>
    <w:rsid w:val="0016798D"/>
    <w:rsid w:val="001679D5"/>
    <w:rsid w:val="00167DC6"/>
    <w:rsid w:val="00167DD8"/>
    <w:rsid w:val="00167EBA"/>
    <w:rsid w:val="0017009A"/>
    <w:rsid w:val="001701C5"/>
    <w:rsid w:val="0017043E"/>
    <w:rsid w:val="0017044B"/>
    <w:rsid w:val="001705BC"/>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8F1"/>
    <w:rsid w:val="00172A27"/>
    <w:rsid w:val="00172ACA"/>
    <w:rsid w:val="00172AFD"/>
    <w:rsid w:val="00172C9C"/>
    <w:rsid w:val="00172D65"/>
    <w:rsid w:val="00173095"/>
    <w:rsid w:val="00173748"/>
    <w:rsid w:val="00173779"/>
    <w:rsid w:val="0017388B"/>
    <w:rsid w:val="00173C41"/>
    <w:rsid w:val="00173C47"/>
    <w:rsid w:val="00173C9C"/>
    <w:rsid w:val="00174157"/>
    <w:rsid w:val="00174237"/>
    <w:rsid w:val="001745B7"/>
    <w:rsid w:val="00174758"/>
    <w:rsid w:val="001747C9"/>
    <w:rsid w:val="00174804"/>
    <w:rsid w:val="00174B2F"/>
    <w:rsid w:val="00174DED"/>
    <w:rsid w:val="0017527A"/>
    <w:rsid w:val="001752E2"/>
    <w:rsid w:val="001754B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FC3"/>
    <w:rsid w:val="0017730A"/>
    <w:rsid w:val="001773F2"/>
    <w:rsid w:val="001774B7"/>
    <w:rsid w:val="00177926"/>
    <w:rsid w:val="00177D21"/>
    <w:rsid w:val="00177F53"/>
    <w:rsid w:val="0018037B"/>
    <w:rsid w:val="001804B6"/>
    <w:rsid w:val="001805EF"/>
    <w:rsid w:val="001807CB"/>
    <w:rsid w:val="001807D6"/>
    <w:rsid w:val="00180917"/>
    <w:rsid w:val="00180B2B"/>
    <w:rsid w:val="00180CEA"/>
    <w:rsid w:val="00180E6B"/>
    <w:rsid w:val="001810EE"/>
    <w:rsid w:val="00181178"/>
    <w:rsid w:val="00181316"/>
    <w:rsid w:val="001813E0"/>
    <w:rsid w:val="0018155E"/>
    <w:rsid w:val="00181721"/>
    <w:rsid w:val="0018182F"/>
    <w:rsid w:val="001819B6"/>
    <w:rsid w:val="001819E6"/>
    <w:rsid w:val="00181A75"/>
    <w:rsid w:val="00181AFD"/>
    <w:rsid w:val="00181EA9"/>
    <w:rsid w:val="00182129"/>
    <w:rsid w:val="00182190"/>
    <w:rsid w:val="001822E5"/>
    <w:rsid w:val="001824EC"/>
    <w:rsid w:val="00182560"/>
    <w:rsid w:val="0018289E"/>
    <w:rsid w:val="001829F9"/>
    <w:rsid w:val="00182C21"/>
    <w:rsid w:val="00183098"/>
    <w:rsid w:val="00183351"/>
    <w:rsid w:val="00183458"/>
    <w:rsid w:val="00183474"/>
    <w:rsid w:val="001834B7"/>
    <w:rsid w:val="001835F9"/>
    <w:rsid w:val="001839E8"/>
    <w:rsid w:val="00183B2A"/>
    <w:rsid w:val="0018418C"/>
    <w:rsid w:val="00184250"/>
    <w:rsid w:val="00184356"/>
    <w:rsid w:val="00184404"/>
    <w:rsid w:val="00184466"/>
    <w:rsid w:val="001844FD"/>
    <w:rsid w:val="001845BA"/>
    <w:rsid w:val="00184651"/>
    <w:rsid w:val="00184BE9"/>
    <w:rsid w:val="00184C17"/>
    <w:rsid w:val="00184F4B"/>
    <w:rsid w:val="0018514E"/>
    <w:rsid w:val="001851B4"/>
    <w:rsid w:val="00185424"/>
    <w:rsid w:val="001854AB"/>
    <w:rsid w:val="00185564"/>
    <w:rsid w:val="001855F6"/>
    <w:rsid w:val="0018576A"/>
    <w:rsid w:val="0018577F"/>
    <w:rsid w:val="001857A3"/>
    <w:rsid w:val="00185991"/>
    <w:rsid w:val="00185B40"/>
    <w:rsid w:val="00186044"/>
    <w:rsid w:val="0018607D"/>
    <w:rsid w:val="001860D3"/>
    <w:rsid w:val="001861C5"/>
    <w:rsid w:val="001863E0"/>
    <w:rsid w:val="00186416"/>
    <w:rsid w:val="00186618"/>
    <w:rsid w:val="0018669B"/>
    <w:rsid w:val="00186936"/>
    <w:rsid w:val="00186B47"/>
    <w:rsid w:val="00186B51"/>
    <w:rsid w:val="00186B8F"/>
    <w:rsid w:val="00186BB0"/>
    <w:rsid w:val="00186F34"/>
    <w:rsid w:val="00187097"/>
    <w:rsid w:val="001870B9"/>
    <w:rsid w:val="00187289"/>
    <w:rsid w:val="00187434"/>
    <w:rsid w:val="00187AE4"/>
    <w:rsid w:val="00187C2F"/>
    <w:rsid w:val="00187EA1"/>
    <w:rsid w:val="00187EC1"/>
    <w:rsid w:val="00187EE3"/>
    <w:rsid w:val="00190172"/>
    <w:rsid w:val="0019036D"/>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1BF2"/>
    <w:rsid w:val="00192064"/>
    <w:rsid w:val="0019212D"/>
    <w:rsid w:val="001921AF"/>
    <w:rsid w:val="001925C4"/>
    <w:rsid w:val="00192647"/>
    <w:rsid w:val="0019293D"/>
    <w:rsid w:val="00192A08"/>
    <w:rsid w:val="00192B30"/>
    <w:rsid w:val="00192BC6"/>
    <w:rsid w:val="00192EC0"/>
    <w:rsid w:val="00193040"/>
    <w:rsid w:val="0019330C"/>
    <w:rsid w:val="00194813"/>
    <w:rsid w:val="0019481F"/>
    <w:rsid w:val="00194820"/>
    <w:rsid w:val="00194D22"/>
    <w:rsid w:val="00194F70"/>
    <w:rsid w:val="0019508B"/>
    <w:rsid w:val="001956BB"/>
    <w:rsid w:val="00195A23"/>
    <w:rsid w:val="00195AC9"/>
    <w:rsid w:val="00195C0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685"/>
    <w:rsid w:val="001A1769"/>
    <w:rsid w:val="001A17B1"/>
    <w:rsid w:val="001A184B"/>
    <w:rsid w:val="001A18F3"/>
    <w:rsid w:val="001A19AE"/>
    <w:rsid w:val="001A1A0D"/>
    <w:rsid w:val="001A22A6"/>
    <w:rsid w:val="001A295B"/>
    <w:rsid w:val="001A2A26"/>
    <w:rsid w:val="001A2C97"/>
    <w:rsid w:val="001A2FBE"/>
    <w:rsid w:val="001A2FCA"/>
    <w:rsid w:val="001A3150"/>
    <w:rsid w:val="001A3235"/>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39F"/>
    <w:rsid w:val="001A6509"/>
    <w:rsid w:val="001A69B1"/>
    <w:rsid w:val="001A6CF0"/>
    <w:rsid w:val="001A6CF8"/>
    <w:rsid w:val="001A6E52"/>
    <w:rsid w:val="001A6FFD"/>
    <w:rsid w:val="001A7208"/>
    <w:rsid w:val="001A7504"/>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7C4"/>
    <w:rsid w:val="001B294F"/>
    <w:rsid w:val="001B2B5D"/>
    <w:rsid w:val="001B2DA1"/>
    <w:rsid w:val="001B3283"/>
    <w:rsid w:val="001B3288"/>
    <w:rsid w:val="001B354F"/>
    <w:rsid w:val="001B361E"/>
    <w:rsid w:val="001B38F7"/>
    <w:rsid w:val="001B3952"/>
    <w:rsid w:val="001B3A64"/>
    <w:rsid w:val="001B3C59"/>
    <w:rsid w:val="001B3CF7"/>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EE9"/>
    <w:rsid w:val="001B5F20"/>
    <w:rsid w:val="001B6331"/>
    <w:rsid w:val="001B67D7"/>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49"/>
    <w:rsid w:val="001C167D"/>
    <w:rsid w:val="001C1A0E"/>
    <w:rsid w:val="001C1B53"/>
    <w:rsid w:val="001C200D"/>
    <w:rsid w:val="001C2098"/>
    <w:rsid w:val="001C24B4"/>
    <w:rsid w:val="001C24CB"/>
    <w:rsid w:val="001C2E9C"/>
    <w:rsid w:val="001C331F"/>
    <w:rsid w:val="001C34B2"/>
    <w:rsid w:val="001C358B"/>
    <w:rsid w:val="001C364D"/>
    <w:rsid w:val="001C3764"/>
    <w:rsid w:val="001C384F"/>
    <w:rsid w:val="001C395C"/>
    <w:rsid w:val="001C3AC5"/>
    <w:rsid w:val="001C3BF0"/>
    <w:rsid w:val="001C3EB8"/>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AC"/>
    <w:rsid w:val="001C7BEA"/>
    <w:rsid w:val="001C7E8A"/>
    <w:rsid w:val="001C7F50"/>
    <w:rsid w:val="001C7F58"/>
    <w:rsid w:val="001D00D1"/>
    <w:rsid w:val="001D05B0"/>
    <w:rsid w:val="001D0969"/>
    <w:rsid w:val="001D0AFA"/>
    <w:rsid w:val="001D0D46"/>
    <w:rsid w:val="001D10DB"/>
    <w:rsid w:val="001D1182"/>
    <w:rsid w:val="001D11CA"/>
    <w:rsid w:val="001D13F2"/>
    <w:rsid w:val="001D157D"/>
    <w:rsid w:val="001D16D0"/>
    <w:rsid w:val="001D19A5"/>
    <w:rsid w:val="001D1A02"/>
    <w:rsid w:val="001D1EB8"/>
    <w:rsid w:val="001D2327"/>
    <w:rsid w:val="001D27F4"/>
    <w:rsid w:val="001D2AC6"/>
    <w:rsid w:val="001D2F6B"/>
    <w:rsid w:val="001D3203"/>
    <w:rsid w:val="001D34F1"/>
    <w:rsid w:val="001D3D04"/>
    <w:rsid w:val="001D3F5E"/>
    <w:rsid w:val="001D4416"/>
    <w:rsid w:val="001D4840"/>
    <w:rsid w:val="001D5020"/>
    <w:rsid w:val="001D5024"/>
    <w:rsid w:val="001D502E"/>
    <w:rsid w:val="001D55C7"/>
    <w:rsid w:val="001D57F5"/>
    <w:rsid w:val="001D5854"/>
    <w:rsid w:val="001D586F"/>
    <w:rsid w:val="001D5CC1"/>
    <w:rsid w:val="001D6203"/>
    <w:rsid w:val="001D6312"/>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D05"/>
    <w:rsid w:val="001D7E41"/>
    <w:rsid w:val="001D7F56"/>
    <w:rsid w:val="001E00B3"/>
    <w:rsid w:val="001E0631"/>
    <w:rsid w:val="001E07FB"/>
    <w:rsid w:val="001E0BA7"/>
    <w:rsid w:val="001E0DC3"/>
    <w:rsid w:val="001E0E35"/>
    <w:rsid w:val="001E11C6"/>
    <w:rsid w:val="001E14B6"/>
    <w:rsid w:val="001E18F5"/>
    <w:rsid w:val="001E1A77"/>
    <w:rsid w:val="001E213C"/>
    <w:rsid w:val="001E2493"/>
    <w:rsid w:val="001E2622"/>
    <w:rsid w:val="001E267E"/>
    <w:rsid w:val="001E26C4"/>
    <w:rsid w:val="001E2793"/>
    <w:rsid w:val="001E2808"/>
    <w:rsid w:val="001E2DA3"/>
    <w:rsid w:val="001E334A"/>
    <w:rsid w:val="001E364E"/>
    <w:rsid w:val="001E3729"/>
    <w:rsid w:val="001E3859"/>
    <w:rsid w:val="001E3BCD"/>
    <w:rsid w:val="001E3C4C"/>
    <w:rsid w:val="001E476E"/>
    <w:rsid w:val="001E482E"/>
    <w:rsid w:val="001E49DD"/>
    <w:rsid w:val="001E4C08"/>
    <w:rsid w:val="001E4DA6"/>
    <w:rsid w:val="001E514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635"/>
    <w:rsid w:val="001F09FC"/>
    <w:rsid w:val="001F0A4C"/>
    <w:rsid w:val="001F0D1E"/>
    <w:rsid w:val="001F0E75"/>
    <w:rsid w:val="001F0FA8"/>
    <w:rsid w:val="001F12C8"/>
    <w:rsid w:val="001F1425"/>
    <w:rsid w:val="001F14F1"/>
    <w:rsid w:val="001F1777"/>
    <w:rsid w:val="001F1AE0"/>
    <w:rsid w:val="001F21A7"/>
    <w:rsid w:val="001F21D3"/>
    <w:rsid w:val="001F21F0"/>
    <w:rsid w:val="001F22DF"/>
    <w:rsid w:val="001F251F"/>
    <w:rsid w:val="001F2630"/>
    <w:rsid w:val="001F2671"/>
    <w:rsid w:val="001F28BB"/>
    <w:rsid w:val="001F2A13"/>
    <w:rsid w:val="001F2AD7"/>
    <w:rsid w:val="001F2E19"/>
    <w:rsid w:val="001F2F8C"/>
    <w:rsid w:val="001F31EA"/>
    <w:rsid w:val="001F39B5"/>
    <w:rsid w:val="001F3A83"/>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5E79"/>
    <w:rsid w:val="001F61CF"/>
    <w:rsid w:val="001F642F"/>
    <w:rsid w:val="001F6445"/>
    <w:rsid w:val="001F65CE"/>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1D"/>
    <w:rsid w:val="00200833"/>
    <w:rsid w:val="00200A8C"/>
    <w:rsid w:val="00200CB0"/>
    <w:rsid w:val="0020100A"/>
    <w:rsid w:val="00201128"/>
    <w:rsid w:val="002014CA"/>
    <w:rsid w:val="002016F0"/>
    <w:rsid w:val="0020178F"/>
    <w:rsid w:val="00201794"/>
    <w:rsid w:val="002019F3"/>
    <w:rsid w:val="00201A99"/>
    <w:rsid w:val="00201C7B"/>
    <w:rsid w:val="00201DDD"/>
    <w:rsid w:val="00201E71"/>
    <w:rsid w:val="00201EB9"/>
    <w:rsid w:val="00201F2A"/>
    <w:rsid w:val="00202361"/>
    <w:rsid w:val="002024E8"/>
    <w:rsid w:val="00202506"/>
    <w:rsid w:val="002029F3"/>
    <w:rsid w:val="00202A48"/>
    <w:rsid w:val="00202E7D"/>
    <w:rsid w:val="00203068"/>
    <w:rsid w:val="002030A5"/>
    <w:rsid w:val="002032B3"/>
    <w:rsid w:val="002033FD"/>
    <w:rsid w:val="002035A1"/>
    <w:rsid w:val="0020374C"/>
    <w:rsid w:val="00203D93"/>
    <w:rsid w:val="002040DB"/>
    <w:rsid w:val="0020468A"/>
    <w:rsid w:val="002049FA"/>
    <w:rsid w:val="00204EBE"/>
    <w:rsid w:val="00204EE8"/>
    <w:rsid w:val="0020522F"/>
    <w:rsid w:val="002053FA"/>
    <w:rsid w:val="002056FE"/>
    <w:rsid w:val="00205C1A"/>
    <w:rsid w:val="00205FF6"/>
    <w:rsid w:val="0020611C"/>
    <w:rsid w:val="0020649B"/>
    <w:rsid w:val="00206839"/>
    <w:rsid w:val="00206DA5"/>
    <w:rsid w:val="002073F9"/>
    <w:rsid w:val="002074FE"/>
    <w:rsid w:val="00207603"/>
    <w:rsid w:val="00207855"/>
    <w:rsid w:val="00207908"/>
    <w:rsid w:val="00207B8B"/>
    <w:rsid w:val="00207F1E"/>
    <w:rsid w:val="00210284"/>
    <w:rsid w:val="0021029A"/>
    <w:rsid w:val="002104D8"/>
    <w:rsid w:val="00210532"/>
    <w:rsid w:val="00210567"/>
    <w:rsid w:val="002105C6"/>
    <w:rsid w:val="00210753"/>
    <w:rsid w:val="00210B63"/>
    <w:rsid w:val="00210DEC"/>
    <w:rsid w:val="00210E87"/>
    <w:rsid w:val="00210FD8"/>
    <w:rsid w:val="00211512"/>
    <w:rsid w:val="0021168B"/>
    <w:rsid w:val="00211CEC"/>
    <w:rsid w:val="00211F20"/>
    <w:rsid w:val="002120CA"/>
    <w:rsid w:val="002122C1"/>
    <w:rsid w:val="002124EA"/>
    <w:rsid w:val="00212733"/>
    <w:rsid w:val="002129CC"/>
    <w:rsid w:val="002129F1"/>
    <w:rsid w:val="00212C2B"/>
    <w:rsid w:val="00212CEF"/>
    <w:rsid w:val="00212E69"/>
    <w:rsid w:val="002131C8"/>
    <w:rsid w:val="002132B6"/>
    <w:rsid w:val="002135EA"/>
    <w:rsid w:val="0021370F"/>
    <w:rsid w:val="00213725"/>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B1B"/>
    <w:rsid w:val="00217C1A"/>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2E26"/>
    <w:rsid w:val="00223400"/>
    <w:rsid w:val="00223967"/>
    <w:rsid w:val="002239B4"/>
    <w:rsid w:val="00223A46"/>
    <w:rsid w:val="00223A67"/>
    <w:rsid w:val="00223A9F"/>
    <w:rsid w:val="00223B8A"/>
    <w:rsid w:val="00223BE5"/>
    <w:rsid w:val="00223D0F"/>
    <w:rsid w:val="0022401F"/>
    <w:rsid w:val="00224083"/>
    <w:rsid w:val="00224095"/>
    <w:rsid w:val="002245A0"/>
    <w:rsid w:val="00224633"/>
    <w:rsid w:val="00224D38"/>
    <w:rsid w:val="00224D5C"/>
    <w:rsid w:val="00224F5E"/>
    <w:rsid w:val="00225028"/>
    <w:rsid w:val="00225081"/>
    <w:rsid w:val="002250B2"/>
    <w:rsid w:val="002256C9"/>
    <w:rsid w:val="00225AF4"/>
    <w:rsid w:val="00225D00"/>
    <w:rsid w:val="00225E4E"/>
    <w:rsid w:val="00225FB0"/>
    <w:rsid w:val="002261C0"/>
    <w:rsid w:val="002263E6"/>
    <w:rsid w:val="002265B4"/>
    <w:rsid w:val="002268E2"/>
    <w:rsid w:val="002268F2"/>
    <w:rsid w:val="00226CBA"/>
    <w:rsid w:val="00226CE8"/>
    <w:rsid w:val="00226E09"/>
    <w:rsid w:val="002277B9"/>
    <w:rsid w:val="00227F20"/>
    <w:rsid w:val="00230482"/>
    <w:rsid w:val="00230648"/>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956"/>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A1"/>
    <w:rsid w:val="002367EF"/>
    <w:rsid w:val="002368D4"/>
    <w:rsid w:val="002369B2"/>
    <w:rsid w:val="00236B1E"/>
    <w:rsid w:val="00236B41"/>
    <w:rsid w:val="00236C4B"/>
    <w:rsid w:val="00236CB0"/>
    <w:rsid w:val="00236F5E"/>
    <w:rsid w:val="00237040"/>
    <w:rsid w:val="002372A8"/>
    <w:rsid w:val="0023742F"/>
    <w:rsid w:val="002374CE"/>
    <w:rsid w:val="00237604"/>
    <w:rsid w:val="0023778E"/>
    <w:rsid w:val="0023784C"/>
    <w:rsid w:val="00237940"/>
    <w:rsid w:val="002402C0"/>
    <w:rsid w:val="00240405"/>
    <w:rsid w:val="0024056D"/>
    <w:rsid w:val="00240773"/>
    <w:rsid w:val="00240A90"/>
    <w:rsid w:val="00240C3D"/>
    <w:rsid w:val="002410D7"/>
    <w:rsid w:val="002410E9"/>
    <w:rsid w:val="0024120F"/>
    <w:rsid w:val="00241599"/>
    <w:rsid w:val="0024169D"/>
    <w:rsid w:val="00241837"/>
    <w:rsid w:val="00241999"/>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5DF"/>
    <w:rsid w:val="0024571E"/>
    <w:rsid w:val="00245AA9"/>
    <w:rsid w:val="00245C98"/>
    <w:rsid w:val="00245E3E"/>
    <w:rsid w:val="00245E9F"/>
    <w:rsid w:val="00246302"/>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E21"/>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4E3E"/>
    <w:rsid w:val="002551B6"/>
    <w:rsid w:val="002553FE"/>
    <w:rsid w:val="0025545A"/>
    <w:rsid w:val="002555C6"/>
    <w:rsid w:val="002555C8"/>
    <w:rsid w:val="00255653"/>
    <w:rsid w:val="00255881"/>
    <w:rsid w:val="002558A2"/>
    <w:rsid w:val="002558A3"/>
    <w:rsid w:val="0025594A"/>
    <w:rsid w:val="00255D93"/>
    <w:rsid w:val="00255F94"/>
    <w:rsid w:val="00256005"/>
    <w:rsid w:val="0025635C"/>
    <w:rsid w:val="0025648A"/>
    <w:rsid w:val="002564D5"/>
    <w:rsid w:val="002565C9"/>
    <w:rsid w:val="002566C7"/>
    <w:rsid w:val="00256897"/>
    <w:rsid w:val="002568F0"/>
    <w:rsid w:val="002568F1"/>
    <w:rsid w:val="0025699B"/>
    <w:rsid w:val="00256CA6"/>
    <w:rsid w:val="00256E73"/>
    <w:rsid w:val="002570AA"/>
    <w:rsid w:val="00257192"/>
    <w:rsid w:val="002571D9"/>
    <w:rsid w:val="00257260"/>
    <w:rsid w:val="00257665"/>
    <w:rsid w:val="0025782D"/>
    <w:rsid w:val="002579FE"/>
    <w:rsid w:val="00257CB1"/>
    <w:rsid w:val="00257E7B"/>
    <w:rsid w:val="00257EA7"/>
    <w:rsid w:val="00260480"/>
    <w:rsid w:val="002608F5"/>
    <w:rsid w:val="0026093A"/>
    <w:rsid w:val="00260949"/>
    <w:rsid w:val="00260BC3"/>
    <w:rsid w:val="00260CDE"/>
    <w:rsid w:val="00261240"/>
    <w:rsid w:val="00261505"/>
    <w:rsid w:val="00261A0F"/>
    <w:rsid w:val="00261A72"/>
    <w:rsid w:val="00261C82"/>
    <w:rsid w:val="00261E41"/>
    <w:rsid w:val="002620E5"/>
    <w:rsid w:val="0026265B"/>
    <w:rsid w:val="00262693"/>
    <w:rsid w:val="0026291E"/>
    <w:rsid w:val="00262973"/>
    <w:rsid w:val="00262A86"/>
    <w:rsid w:val="00262BEA"/>
    <w:rsid w:val="00262ED0"/>
    <w:rsid w:val="00263001"/>
    <w:rsid w:val="0026308B"/>
    <w:rsid w:val="002631FE"/>
    <w:rsid w:val="00263234"/>
    <w:rsid w:val="00263355"/>
    <w:rsid w:val="002634C3"/>
    <w:rsid w:val="00263D44"/>
    <w:rsid w:val="00263DBA"/>
    <w:rsid w:val="00263DC8"/>
    <w:rsid w:val="00263FD7"/>
    <w:rsid w:val="002647DB"/>
    <w:rsid w:val="00264C6B"/>
    <w:rsid w:val="00264C79"/>
    <w:rsid w:val="00264D37"/>
    <w:rsid w:val="00264E3C"/>
    <w:rsid w:val="00264EA6"/>
    <w:rsid w:val="00264F09"/>
    <w:rsid w:val="00264F20"/>
    <w:rsid w:val="00264F40"/>
    <w:rsid w:val="00265214"/>
    <w:rsid w:val="00265753"/>
    <w:rsid w:val="002659F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6B"/>
    <w:rsid w:val="00270C18"/>
    <w:rsid w:val="00270DA4"/>
    <w:rsid w:val="00270DAA"/>
    <w:rsid w:val="0027133C"/>
    <w:rsid w:val="002714A1"/>
    <w:rsid w:val="00271765"/>
    <w:rsid w:val="0027178A"/>
    <w:rsid w:val="002719EC"/>
    <w:rsid w:val="00271C93"/>
    <w:rsid w:val="002724A1"/>
    <w:rsid w:val="00272552"/>
    <w:rsid w:val="00272670"/>
    <w:rsid w:val="00272696"/>
    <w:rsid w:val="00272826"/>
    <w:rsid w:val="00272983"/>
    <w:rsid w:val="00272BA5"/>
    <w:rsid w:val="00272E7C"/>
    <w:rsid w:val="00272E8C"/>
    <w:rsid w:val="00272F6D"/>
    <w:rsid w:val="0027314E"/>
    <w:rsid w:val="002732F4"/>
    <w:rsid w:val="002733D3"/>
    <w:rsid w:val="002736A5"/>
    <w:rsid w:val="00273783"/>
    <w:rsid w:val="002737C9"/>
    <w:rsid w:val="002737D4"/>
    <w:rsid w:val="002739B1"/>
    <w:rsid w:val="00273F4A"/>
    <w:rsid w:val="00274247"/>
    <w:rsid w:val="00274417"/>
    <w:rsid w:val="002744F9"/>
    <w:rsid w:val="0027451C"/>
    <w:rsid w:val="00274892"/>
    <w:rsid w:val="00274894"/>
    <w:rsid w:val="00274A16"/>
    <w:rsid w:val="00274C22"/>
    <w:rsid w:val="00274CC3"/>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EF7"/>
    <w:rsid w:val="00277270"/>
    <w:rsid w:val="002772D0"/>
    <w:rsid w:val="00277646"/>
    <w:rsid w:val="00280041"/>
    <w:rsid w:val="00280049"/>
    <w:rsid w:val="0028006F"/>
    <w:rsid w:val="00280073"/>
    <w:rsid w:val="002800E4"/>
    <w:rsid w:val="0028045F"/>
    <w:rsid w:val="002809E4"/>
    <w:rsid w:val="00280D6F"/>
    <w:rsid w:val="00280FFB"/>
    <w:rsid w:val="00281283"/>
    <w:rsid w:val="002812B5"/>
    <w:rsid w:val="0028141E"/>
    <w:rsid w:val="002814DA"/>
    <w:rsid w:val="0028174B"/>
    <w:rsid w:val="00281762"/>
    <w:rsid w:val="00281841"/>
    <w:rsid w:val="00281D18"/>
    <w:rsid w:val="0028229F"/>
    <w:rsid w:val="00282337"/>
    <w:rsid w:val="00282534"/>
    <w:rsid w:val="002826DE"/>
    <w:rsid w:val="002829D9"/>
    <w:rsid w:val="00282A1F"/>
    <w:rsid w:val="00282A7F"/>
    <w:rsid w:val="00282DE6"/>
    <w:rsid w:val="00283475"/>
    <w:rsid w:val="0028360E"/>
    <w:rsid w:val="002838A6"/>
    <w:rsid w:val="00283B82"/>
    <w:rsid w:val="00283CA7"/>
    <w:rsid w:val="00283CB4"/>
    <w:rsid w:val="00284AA4"/>
    <w:rsid w:val="00284B02"/>
    <w:rsid w:val="00284F48"/>
    <w:rsid w:val="002851A4"/>
    <w:rsid w:val="00285AEF"/>
    <w:rsid w:val="00285C28"/>
    <w:rsid w:val="00285FF4"/>
    <w:rsid w:val="002860A4"/>
    <w:rsid w:val="0028628D"/>
    <w:rsid w:val="00286362"/>
    <w:rsid w:val="00286366"/>
    <w:rsid w:val="00286370"/>
    <w:rsid w:val="002863F4"/>
    <w:rsid w:val="00286527"/>
    <w:rsid w:val="00286544"/>
    <w:rsid w:val="00286609"/>
    <w:rsid w:val="00286733"/>
    <w:rsid w:val="00286920"/>
    <w:rsid w:val="00286AFA"/>
    <w:rsid w:val="00286D84"/>
    <w:rsid w:val="002872F0"/>
    <w:rsid w:val="00287959"/>
    <w:rsid w:val="00287B6A"/>
    <w:rsid w:val="00287D3B"/>
    <w:rsid w:val="002902E3"/>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9DC"/>
    <w:rsid w:val="00292BEE"/>
    <w:rsid w:val="00292C6F"/>
    <w:rsid w:val="00292CFA"/>
    <w:rsid w:val="00292D55"/>
    <w:rsid w:val="00292E06"/>
    <w:rsid w:val="00292F51"/>
    <w:rsid w:val="00292F8D"/>
    <w:rsid w:val="002930C3"/>
    <w:rsid w:val="00293165"/>
    <w:rsid w:val="00293747"/>
    <w:rsid w:val="002937F4"/>
    <w:rsid w:val="00293853"/>
    <w:rsid w:val="00293B6B"/>
    <w:rsid w:val="00293C1A"/>
    <w:rsid w:val="00293F36"/>
    <w:rsid w:val="00294029"/>
    <w:rsid w:val="00294325"/>
    <w:rsid w:val="00294347"/>
    <w:rsid w:val="002944B3"/>
    <w:rsid w:val="00294695"/>
    <w:rsid w:val="0029483A"/>
    <w:rsid w:val="00294A21"/>
    <w:rsid w:val="00294C56"/>
    <w:rsid w:val="00294DE8"/>
    <w:rsid w:val="00295017"/>
    <w:rsid w:val="002953EF"/>
    <w:rsid w:val="0029549A"/>
    <w:rsid w:val="00295560"/>
    <w:rsid w:val="002956E1"/>
    <w:rsid w:val="002957A7"/>
    <w:rsid w:val="00295D20"/>
    <w:rsid w:val="00295D88"/>
    <w:rsid w:val="00295E20"/>
    <w:rsid w:val="00295F0E"/>
    <w:rsid w:val="00296095"/>
    <w:rsid w:val="0029623A"/>
    <w:rsid w:val="002963F2"/>
    <w:rsid w:val="0029651B"/>
    <w:rsid w:val="002965EA"/>
    <w:rsid w:val="002965F8"/>
    <w:rsid w:val="002967F3"/>
    <w:rsid w:val="00296CD1"/>
    <w:rsid w:val="00296F66"/>
    <w:rsid w:val="00296FFE"/>
    <w:rsid w:val="00297100"/>
    <w:rsid w:val="0029725E"/>
    <w:rsid w:val="00297312"/>
    <w:rsid w:val="00297437"/>
    <w:rsid w:val="002974E7"/>
    <w:rsid w:val="00297D8E"/>
    <w:rsid w:val="002A0035"/>
    <w:rsid w:val="002A007E"/>
    <w:rsid w:val="002A0092"/>
    <w:rsid w:val="002A05BE"/>
    <w:rsid w:val="002A0667"/>
    <w:rsid w:val="002A0792"/>
    <w:rsid w:val="002A0CFA"/>
    <w:rsid w:val="002A0D16"/>
    <w:rsid w:val="002A0DD5"/>
    <w:rsid w:val="002A0E50"/>
    <w:rsid w:val="002A1138"/>
    <w:rsid w:val="002A1143"/>
    <w:rsid w:val="002A141A"/>
    <w:rsid w:val="002A1547"/>
    <w:rsid w:val="002A1590"/>
    <w:rsid w:val="002A1690"/>
    <w:rsid w:val="002A17C7"/>
    <w:rsid w:val="002A18CA"/>
    <w:rsid w:val="002A198F"/>
    <w:rsid w:val="002A1E1D"/>
    <w:rsid w:val="002A1FD7"/>
    <w:rsid w:val="002A2009"/>
    <w:rsid w:val="002A2034"/>
    <w:rsid w:val="002A2251"/>
    <w:rsid w:val="002A227E"/>
    <w:rsid w:val="002A261B"/>
    <w:rsid w:val="002A29D8"/>
    <w:rsid w:val="002A2BE0"/>
    <w:rsid w:val="002A2E59"/>
    <w:rsid w:val="002A2FAC"/>
    <w:rsid w:val="002A2FDA"/>
    <w:rsid w:val="002A300C"/>
    <w:rsid w:val="002A3042"/>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7E3"/>
    <w:rsid w:val="002A69D7"/>
    <w:rsid w:val="002A6B93"/>
    <w:rsid w:val="002A6F4F"/>
    <w:rsid w:val="002A6FAE"/>
    <w:rsid w:val="002A7B13"/>
    <w:rsid w:val="002A7C12"/>
    <w:rsid w:val="002A7D65"/>
    <w:rsid w:val="002A7E40"/>
    <w:rsid w:val="002A7EE6"/>
    <w:rsid w:val="002A7EEE"/>
    <w:rsid w:val="002B00BD"/>
    <w:rsid w:val="002B05C8"/>
    <w:rsid w:val="002B0A36"/>
    <w:rsid w:val="002B0A40"/>
    <w:rsid w:val="002B0A94"/>
    <w:rsid w:val="002B0BF5"/>
    <w:rsid w:val="002B0D71"/>
    <w:rsid w:val="002B1231"/>
    <w:rsid w:val="002B13D9"/>
    <w:rsid w:val="002B1461"/>
    <w:rsid w:val="002B147C"/>
    <w:rsid w:val="002B14A4"/>
    <w:rsid w:val="002B1A0C"/>
    <w:rsid w:val="002B1A21"/>
    <w:rsid w:val="002B1C15"/>
    <w:rsid w:val="002B1CDA"/>
    <w:rsid w:val="002B1DA2"/>
    <w:rsid w:val="002B1FF2"/>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172"/>
    <w:rsid w:val="002B548B"/>
    <w:rsid w:val="002B5892"/>
    <w:rsid w:val="002B5938"/>
    <w:rsid w:val="002B5DCF"/>
    <w:rsid w:val="002B5F34"/>
    <w:rsid w:val="002B62DC"/>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0F33"/>
    <w:rsid w:val="002C102E"/>
    <w:rsid w:val="002C12AB"/>
    <w:rsid w:val="002C1467"/>
    <w:rsid w:val="002C1867"/>
    <w:rsid w:val="002C1905"/>
    <w:rsid w:val="002C1953"/>
    <w:rsid w:val="002C1C67"/>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CE4"/>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C78"/>
    <w:rsid w:val="002C7E3B"/>
    <w:rsid w:val="002C7F66"/>
    <w:rsid w:val="002D0530"/>
    <w:rsid w:val="002D0AA0"/>
    <w:rsid w:val="002D0AAB"/>
    <w:rsid w:val="002D0AD3"/>
    <w:rsid w:val="002D0C08"/>
    <w:rsid w:val="002D0DC3"/>
    <w:rsid w:val="002D11B1"/>
    <w:rsid w:val="002D11E1"/>
    <w:rsid w:val="002D1F3F"/>
    <w:rsid w:val="002D1F53"/>
    <w:rsid w:val="002D20CB"/>
    <w:rsid w:val="002D213A"/>
    <w:rsid w:val="002D2261"/>
    <w:rsid w:val="002D230A"/>
    <w:rsid w:val="002D23B5"/>
    <w:rsid w:val="002D2505"/>
    <w:rsid w:val="002D27A9"/>
    <w:rsid w:val="002D29E9"/>
    <w:rsid w:val="002D2A77"/>
    <w:rsid w:val="002D2D4C"/>
    <w:rsid w:val="002D31FB"/>
    <w:rsid w:val="002D3332"/>
    <w:rsid w:val="002D357A"/>
    <w:rsid w:val="002D35A4"/>
    <w:rsid w:val="002D3682"/>
    <w:rsid w:val="002D37F9"/>
    <w:rsid w:val="002D3945"/>
    <w:rsid w:val="002D3A2F"/>
    <w:rsid w:val="002D3A57"/>
    <w:rsid w:val="002D3D8E"/>
    <w:rsid w:val="002D3EC7"/>
    <w:rsid w:val="002D402A"/>
    <w:rsid w:val="002D4142"/>
    <w:rsid w:val="002D4329"/>
    <w:rsid w:val="002D43D9"/>
    <w:rsid w:val="002D4535"/>
    <w:rsid w:val="002D47EF"/>
    <w:rsid w:val="002D486D"/>
    <w:rsid w:val="002D48FF"/>
    <w:rsid w:val="002D4B7C"/>
    <w:rsid w:val="002D51E1"/>
    <w:rsid w:val="002D5CD8"/>
    <w:rsid w:val="002D606A"/>
    <w:rsid w:val="002D6176"/>
    <w:rsid w:val="002D61E2"/>
    <w:rsid w:val="002D6230"/>
    <w:rsid w:val="002D6770"/>
    <w:rsid w:val="002D6A75"/>
    <w:rsid w:val="002D6BD6"/>
    <w:rsid w:val="002D6E3A"/>
    <w:rsid w:val="002D7103"/>
    <w:rsid w:val="002D73D0"/>
    <w:rsid w:val="002D746B"/>
    <w:rsid w:val="002D7720"/>
    <w:rsid w:val="002D77BD"/>
    <w:rsid w:val="002D790B"/>
    <w:rsid w:val="002D7B4A"/>
    <w:rsid w:val="002D7BD4"/>
    <w:rsid w:val="002D7CBE"/>
    <w:rsid w:val="002D7F01"/>
    <w:rsid w:val="002D7FE8"/>
    <w:rsid w:val="002E0069"/>
    <w:rsid w:val="002E00BB"/>
    <w:rsid w:val="002E016E"/>
    <w:rsid w:val="002E0212"/>
    <w:rsid w:val="002E05C5"/>
    <w:rsid w:val="002E06AD"/>
    <w:rsid w:val="002E08A4"/>
    <w:rsid w:val="002E0918"/>
    <w:rsid w:val="002E0AC9"/>
    <w:rsid w:val="002E0D1B"/>
    <w:rsid w:val="002E0E79"/>
    <w:rsid w:val="002E0FC1"/>
    <w:rsid w:val="002E1190"/>
    <w:rsid w:val="002E135A"/>
    <w:rsid w:val="002E13F7"/>
    <w:rsid w:val="002E15B7"/>
    <w:rsid w:val="002E16BB"/>
    <w:rsid w:val="002E1927"/>
    <w:rsid w:val="002E1B25"/>
    <w:rsid w:val="002E1B65"/>
    <w:rsid w:val="002E1EF4"/>
    <w:rsid w:val="002E21FF"/>
    <w:rsid w:val="002E2217"/>
    <w:rsid w:val="002E2537"/>
    <w:rsid w:val="002E28EB"/>
    <w:rsid w:val="002E290F"/>
    <w:rsid w:val="002E292D"/>
    <w:rsid w:val="002E2943"/>
    <w:rsid w:val="002E29A7"/>
    <w:rsid w:val="002E2EA7"/>
    <w:rsid w:val="002E2F72"/>
    <w:rsid w:val="002E2FDC"/>
    <w:rsid w:val="002E30FF"/>
    <w:rsid w:val="002E325B"/>
    <w:rsid w:val="002E345D"/>
    <w:rsid w:val="002E34AB"/>
    <w:rsid w:val="002E3842"/>
    <w:rsid w:val="002E3C13"/>
    <w:rsid w:val="002E3E73"/>
    <w:rsid w:val="002E42C8"/>
    <w:rsid w:val="002E4398"/>
    <w:rsid w:val="002E468F"/>
    <w:rsid w:val="002E4AB8"/>
    <w:rsid w:val="002E4C3C"/>
    <w:rsid w:val="002E4E10"/>
    <w:rsid w:val="002E5368"/>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08C"/>
    <w:rsid w:val="002F113D"/>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438"/>
    <w:rsid w:val="002F45FE"/>
    <w:rsid w:val="002F48D4"/>
    <w:rsid w:val="002F4A44"/>
    <w:rsid w:val="002F4EA5"/>
    <w:rsid w:val="002F509A"/>
    <w:rsid w:val="002F522A"/>
    <w:rsid w:val="002F5544"/>
    <w:rsid w:val="002F566B"/>
    <w:rsid w:val="002F5731"/>
    <w:rsid w:val="002F581D"/>
    <w:rsid w:val="002F5FB7"/>
    <w:rsid w:val="002F6250"/>
    <w:rsid w:val="002F6706"/>
    <w:rsid w:val="002F690A"/>
    <w:rsid w:val="002F6964"/>
    <w:rsid w:val="002F696B"/>
    <w:rsid w:val="002F6B5D"/>
    <w:rsid w:val="002F70B6"/>
    <w:rsid w:val="002F7184"/>
    <w:rsid w:val="002F7194"/>
    <w:rsid w:val="002F7241"/>
    <w:rsid w:val="002F7255"/>
    <w:rsid w:val="002F754A"/>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0E51"/>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BC"/>
    <w:rsid w:val="003039DA"/>
    <w:rsid w:val="00303FEB"/>
    <w:rsid w:val="0030419A"/>
    <w:rsid w:val="00304262"/>
    <w:rsid w:val="0030426D"/>
    <w:rsid w:val="003044D6"/>
    <w:rsid w:val="00304631"/>
    <w:rsid w:val="0030494A"/>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197"/>
    <w:rsid w:val="00306202"/>
    <w:rsid w:val="0030630B"/>
    <w:rsid w:val="003065CF"/>
    <w:rsid w:val="0030679A"/>
    <w:rsid w:val="003067F6"/>
    <w:rsid w:val="003068D5"/>
    <w:rsid w:val="00306939"/>
    <w:rsid w:val="00306A5F"/>
    <w:rsid w:val="00306BCB"/>
    <w:rsid w:val="00306CB7"/>
    <w:rsid w:val="00306E51"/>
    <w:rsid w:val="00306F12"/>
    <w:rsid w:val="00307073"/>
    <w:rsid w:val="00307191"/>
    <w:rsid w:val="003071B0"/>
    <w:rsid w:val="0030729A"/>
    <w:rsid w:val="00307428"/>
    <w:rsid w:val="003075DD"/>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3BDE"/>
    <w:rsid w:val="00314004"/>
    <w:rsid w:val="0031422A"/>
    <w:rsid w:val="00314408"/>
    <w:rsid w:val="0031478C"/>
    <w:rsid w:val="0031487E"/>
    <w:rsid w:val="003149E6"/>
    <w:rsid w:val="00314BDC"/>
    <w:rsid w:val="00314CE5"/>
    <w:rsid w:val="00314DA1"/>
    <w:rsid w:val="00314EA1"/>
    <w:rsid w:val="003150A4"/>
    <w:rsid w:val="0031522C"/>
    <w:rsid w:val="00315280"/>
    <w:rsid w:val="0031593F"/>
    <w:rsid w:val="00315988"/>
    <w:rsid w:val="003159CE"/>
    <w:rsid w:val="00315A45"/>
    <w:rsid w:val="00315A74"/>
    <w:rsid w:val="00315ABE"/>
    <w:rsid w:val="00315CAB"/>
    <w:rsid w:val="00315CBA"/>
    <w:rsid w:val="00315CC6"/>
    <w:rsid w:val="00315CCE"/>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1FD4"/>
    <w:rsid w:val="003220E6"/>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8FD"/>
    <w:rsid w:val="00327A2C"/>
    <w:rsid w:val="00327A9A"/>
    <w:rsid w:val="00327CF2"/>
    <w:rsid w:val="00327F28"/>
    <w:rsid w:val="00327FB6"/>
    <w:rsid w:val="003302F4"/>
    <w:rsid w:val="0033037D"/>
    <w:rsid w:val="003305F4"/>
    <w:rsid w:val="003307C3"/>
    <w:rsid w:val="00330CAC"/>
    <w:rsid w:val="00330D94"/>
    <w:rsid w:val="00330EC6"/>
    <w:rsid w:val="00330F01"/>
    <w:rsid w:val="00330F0B"/>
    <w:rsid w:val="003311B5"/>
    <w:rsid w:val="0033135D"/>
    <w:rsid w:val="003313E1"/>
    <w:rsid w:val="00331502"/>
    <w:rsid w:val="00331749"/>
    <w:rsid w:val="003318D6"/>
    <w:rsid w:val="00331E0D"/>
    <w:rsid w:val="0033205A"/>
    <w:rsid w:val="003322B7"/>
    <w:rsid w:val="003322FC"/>
    <w:rsid w:val="0033230D"/>
    <w:rsid w:val="003324BC"/>
    <w:rsid w:val="003324F6"/>
    <w:rsid w:val="0033265C"/>
    <w:rsid w:val="003327CB"/>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2"/>
    <w:rsid w:val="00333F0D"/>
    <w:rsid w:val="0033403E"/>
    <w:rsid w:val="003343CD"/>
    <w:rsid w:val="003343F9"/>
    <w:rsid w:val="00334550"/>
    <w:rsid w:val="0033472D"/>
    <w:rsid w:val="003347F5"/>
    <w:rsid w:val="00334869"/>
    <w:rsid w:val="00334878"/>
    <w:rsid w:val="00334BBD"/>
    <w:rsid w:val="00334BC5"/>
    <w:rsid w:val="00334EEB"/>
    <w:rsid w:val="00334F06"/>
    <w:rsid w:val="003352B0"/>
    <w:rsid w:val="003353A8"/>
    <w:rsid w:val="00335426"/>
    <w:rsid w:val="00335460"/>
    <w:rsid w:val="003356AF"/>
    <w:rsid w:val="003359CC"/>
    <w:rsid w:val="00335B82"/>
    <w:rsid w:val="00335E61"/>
    <w:rsid w:val="003361A3"/>
    <w:rsid w:val="0033642D"/>
    <w:rsid w:val="0033688B"/>
    <w:rsid w:val="00336B46"/>
    <w:rsid w:val="00336B7B"/>
    <w:rsid w:val="00336C35"/>
    <w:rsid w:val="00336DFE"/>
    <w:rsid w:val="0033748D"/>
    <w:rsid w:val="003376D2"/>
    <w:rsid w:val="003376F4"/>
    <w:rsid w:val="00337938"/>
    <w:rsid w:val="00337969"/>
    <w:rsid w:val="00337A80"/>
    <w:rsid w:val="00337AB1"/>
    <w:rsid w:val="00337C31"/>
    <w:rsid w:val="00337DB4"/>
    <w:rsid w:val="00337E0A"/>
    <w:rsid w:val="00337F73"/>
    <w:rsid w:val="0034002C"/>
    <w:rsid w:val="00340045"/>
    <w:rsid w:val="00340217"/>
    <w:rsid w:val="0034027C"/>
    <w:rsid w:val="00340543"/>
    <w:rsid w:val="003405EA"/>
    <w:rsid w:val="00340630"/>
    <w:rsid w:val="00340784"/>
    <w:rsid w:val="00340813"/>
    <w:rsid w:val="00340B05"/>
    <w:rsid w:val="00340C5E"/>
    <w:rsid w:val="00340CCD"/>
    <w:rsid w:val="00340FCA"/>
    <w:rsid w:val="00341118"/>
    <w:rsid w:val="00341446"/>
    <w:rsid w:val="00341520"/>
    <w:rsid w:val="003419FC"/>
    <w:rsid w:val="00341A2A"/>
    <w:rsid w:val="00341A55"/>
    <w:rsid w:val="00341B0A"/>
    <w:rsid w:val="00342011"/>
    <w:rsid w:val="003421A8"/>
    <w:rsid w:val="003422DF"/>
    <w:rsid w:val="003425A6"/>
    <w:rsid w:val="003425EC"/>
    <w:rsid w:val="00342712"/>
    <w:rsid w:val="00342EB6"/>
    <w:rsid w:val="00342FB9"/>
    <w:rsid w:val="0034346D"/>
    <w:rsid w:val="00343622"/>
    <w:rsid w:val="00343635"/>
    <w:rsid w:val="0034364C"/>
    <w:rsid w:val="003439FC"/>
    <w:rsid w:val="00343C45"/>
    <w:rsid w:val="00343E05"/>
    <w:rsid w:val="00343E90"/>
    <w:rsid w:val="00344069"/>
    <w:rsid w:val="00344294"/>
    <w:rsid w:val="003443E7"/>
    <w:rsid w:val="00344468"/>
    <w:rsid w:val="00344655"/>
    <w:rsid w:val="00344674"/>
    <w:rsid w:val="003446BB"/>
    <w:rsid w:val="003448F3"/>
    <w:rsid w:val="00344A74"/>
    <w:rsid w:val="00344AD6"/>
    <w:rsid w:val="00345013"/>
    <w:rsid w:val="00345447"/>
    <w:rsid w:val="0034553A"/>
    <w:rsid w:val="003456B8"/>
    <w:rsid w:val="003457A1"/>
    <w:rsid w:val="003457C9"/>
    <w:rsid w:val="003457F9"/>
    <w:rsid w:val="00345918"/>
    <w:rsid w:val="0034593E"/>
    <w:rsid w:val="00345965"/>
    <w:rsid w:val="00345EC3"/>
    <w:rsid w:val="0034600F"/>
    <w:rsid w:val="003461F2"/>
    <w:rsid w:val="0034627D"/>
    <w:rsid w:val="003462D4"/>
    <w:rsid w:val="00346384"/>
    <w:rsid w:val="00346407"/>
    <w:rsid w:val="00346D5D"/>
    <w:rsid w:val="00346EA3"/>
    <w:rsid w:val="00346F7D"/>
    <w:rsid w:val="0034709B"/>
    <w:rsid w:val="0034724E"/>
    <w:rsid w:val="00347259"/>
    <w:rsid w:val="003476BF"/>
    <w:rsid w:val="00347871"/>
    <w:rsid w:val="003478EE"/>
    <w:rsid w:val="00347945"/>
    <w:rsid w:val="00347951"/>
    <w:rsid w:val="00347C25"/>
    <w:rsid w:val="00347C34"/>
    <w:rsid w:val="00347CD5"/>
    <w:rsid w:val="00347D28"/>
    <w:rsid w:val="00347DAA"/>
    <w:rsid w:val="00350F55"/>
    <w:rsid w:val="00351100"/>
    <w:rsid w:val="003512C2"/>
    <w:rsid w:val="00351319"/>
    <w:rsid w:val="00351390"/>
    <w:rsid w:val="00351525"/>
    <w:rsid w:val="0035174E"/>
    <w:rsid w:val="0035175B"/>
    <w:rsid w:val="00351A4A"/>
    <w:rsid w:val="00351BE3"/>
    <w:rsid w:val="00351BFD"/>
    <w:rsid w:val="00351DB9"/>
    <w:rsid w:val="00351F11"/>
    <w:rsid w:val="00352474"/>
    <w:rsid w:val="003525D3"/>
    <w:rsid w:val="00352A3F"/>
    <w:rsid w:val="00352F1D"/>
    <w:rsid w:val="00352F71"/>
    <w:rsid w:val="003532A2"/>
    <w:rsid w:val="003534D6"/>
    <w:rsid w:val="00353542"/>
    <w:rsid w:val="003536B9"/>
    <w:rsid w:val="00353729"/>
    <w:rsid w:val="00353C3E"/>
    <w:rsid w:val="00353CAD"/>
    <w:rsid w:val="00353DCC"/>
    <w:rsid w:val="00353EE8"/>
    <w:rsid w:val="00354086"/>
    <w:rsid w:val="0035433D"/>
    <w:rsid w:val="00354553"/>
    <w:rsid w:val="003547E4"/>
    <w:rsid w:val="00354B90"/>
    <w:rsid w:val="00354F4B"/>
    <w:rsid w:val="00354F6A"/>
    <w:rsid w:val="0035574F"/>
    <w:rsid w:val="0035595C"/>
    <w:rsid w:val="00355E08"/>
    <w:rsid w:val="00355E3B"/>
    <w:rsid w:val="00355F8F"/>
    <w:rsid w:val="003562D2"/>
    <w:rsid w:val="003564B0"/>
    <w:rsid w:val="003564B9"/>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221"/>
    <w:rsid w:val="00364A79"/>
    <w:rsid w:val="003653B9"/>
    <w:rsid w:val="00365843"/>
    <w:rsid w:val="003658A6"/>
    <w:rsid w:val="00365A30"/>
    <w:rsid w:val="00366226"/>
    <w:rsid w:val="003664F9"/>
    <w:rsid w:val="003666F4"/>
    <w:rsid w:val="00366A65"/>
    <w:rsid w:val="0036700A"/>
    <w:rsid w:val="003670D7"/>
    <w:rsid w:val="00367107"/>
    <w:rsid w:val="00367192"/>
    <w:rsid w:val="003679BD"/>
    <w:rsid w:val="00370252"/>
    <w:rsid w:val="003702D7"/>
    <w:rsid w:val="0037032E"/>
    <w:rsid w:val="003704C2"/>
    <w:rsid w:val="00370865"/>
    <w:rsid w:val="00370A72"/>
    <w:rsid w:val="00370B6C"/>
    <w:rsid w:val="00370CBA"/>
    <w:rsid w:val="00370DA4"/>
    <w:rsid w:val="00370DBC"/>
    <w:rsid w:val="00370FEE"/>
    <w:rsid w:val="0037100B"/>
    <w:rsid w:val="003710C0"/>
    <w:rsid w:val="00371857"/>
    <w:rsid w:val="00371886"/>
    <w:rsid w:val="00371AC9"/>
    <w:rsid w:val="00371AD1"/>
    <w:rsid w:val="00371E13"/>
    <w:rsid w:val="00371E7B"/>
    <w:rsid w:val="00371F1A"/>
    <w:rsid w:val="0037216F"/>
    <w:rsid w:val="003721C3"/>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EFE"/>
    <w:rsid w:val="0037518D"/>
    <w:rsid w:val="00375342"/>
    <w:rsid w:val="00375349"/>
    <w:rsid w:val="003757F4"/>
    <w:rsid w:val="00375B88"/>
    <w:rsid w:val="00375CAF"/>
    <w:rsid w:val="00375DDE"/>
    <w:rsid w:val="00376264"/>
    <w:rsid w:val="003769CB"/>
    <w:rsid w:val="00376A10"/>
    <w:rsid w:val="00376D39"/>
    <w:rsid w:val="00376EB8"/>
    <w:rsid w:val="00376F5A"/>
    <w:rsid w:val="00377131"/>
    <w:rsid w:val="003771EE"/>
    <w:rsid w:val="00377293"/>
    <w:rsid w:val="003776D5"/>
    <w:rsid w:val="00377796"/>
    <w:rsid w:val="00377EC8"/>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931"/>
    <w:rsid w:val="003829BF"/>
    <w:rsid w:val="00382A2F"/>
    <w:rsid w:val="00382C26"/>
    <w:rsid w:val="00382FD4"/>
    <w:rsid w:val="00382FE5"/>
    <w:rsid w:val="00383339"/>
    <w:rsid w:val="00383CA9"/>
    <w:rsid w:val="00383DA7"/>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E1B"/>
    <w:rsid w:val="00386F57"/>
    <w:rsid w:val="00387147"/>
    <w:rsid w:val="00387224"/>
    <w:rsid w:val="003874D3"/>
    <w:rsid w:val="00387560"/>
    <w:rsid w:val="003875CF"/>
    <w:rsid w:val="003877FA"/>
    <w:rsid w:val="003878DD"/>
    <w:rsid w:val="00387A3F"/>
    <w:rsid w:val="00387B49"/>
    <w:rsid w:val="0039021E"/>
    <w:rsid w:val="00390363"/>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5F6"/>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7F"/>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B9D"/>
    <w:rsid w:val="003A1C9E"/>
    <w:rsid w:val="003A1E09"/>
    <w:rsid w:val="003A1E5D"/>
    <w:rsid w:val="003A2007"/>
    <w:rsid w:val="003A2109"/>
    <w:rsid w:val="003A2163"/>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ED5"/>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5B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A6"/>
    <w:rsid w:val="003B08B0"/>
    <w:rsid w:val="003B0926"/>
    <w:rsid w:val="003B0BC5"/>
    <w:rsid w:val="003B0D16"/>
    <w:rsid w:val="003B0D80"/>
    <w:rsid w:val="003B11CE"/>
    <w:rsid w:val="003B121A"/>
    <w:rsid w:val="003B155D"/>
    <w:rsid w:val="003B1583"/>
    <w:rsid w:val="003B15B2"/>
    <w:rsid w:val="003B15EB"/>
    <w:rsid w:val="003B1AC1"/>
    <w:rsid w:val="003B1F04"/>
    <w:rsid w:val="003B22A8"/>
    <w:rsid w:val="003B232F"/>
    <w:rsid w:val="003B24DD"/>
    <w:rsid w:val="003B273C"/>
    <w:rsid w:val="003B2852"/>
    <w:rsid w:val="003B29F3"/>
    <w:rsid w:val="003B2A50"/>
    <w:rsid w:val="003B2AE3"/>
    <w:rsid w:val="003B2FFB"/>
    <w:rsid w:val="003B3075"/>
    <w:rsid w:val="003B3087"/>
    <w:rsid w:val="003B3101"/>
    <w:rsid w:val="003B3495"/>
    <w:rsid w:val="003B36D3"/>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E4"/>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DC9"/>
    <w:rsid w:val="003C1FE0"/>
    <w:rsid w:val="003C2086"/>
    <w:rsid w:val="003C2087"/>
    <w:rsid w:val="003C2099"/>
    <w:rsid w:val="003C25E2"/>
    <w:rsid w:val="003C2603"/>
    <w:rsid w:val="003C273F"/>
    <w:rsid w:val="003C29DB"/>
    <w:rsid w:val="003C2CF9"/>
    <w:rsid w:val="003C2D28"/>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2E1"/>
    <w:rsid w:val="003C5513"/>
    <w:rsid w:val="003C56BF"/>
    <w:rsid w:val="003C5714"/>
    <w:rsid w:val="003C597E"/>
    <w:rsid w:val="003C5E02"/>
    <w:rsid w:val="003C6184"/>
    <w:rsid w:val="003C62E6"/>
    <w:rsid w:val="003C6531"/>
    <w:rsid w:val="003C6817"/>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AE7"/>
    <w:rsid w:val="003D1F75"/>
    <w:rsid w:val="003D2158"/>
    <w:rsid w:val="003D21D5"/>
    <w:rsid w:val="003D2454"/>
    <w:rsid w:val="003D2477"/>
    <w:rsid w:val="003D28AF"/>
    <w:rsid w:val="003D28C6"/>
    <w:rsid w:val="003D2927"/>
    <w:rsid w:val="003D2C21"/>
    <w:rsid w:val="003D2E15"/>
    <w:rsid w:val="003D2F96"/>
    <w:rsid w:val="003D30F5"/>
    <w:rsid w:val="003D31CC"/>
    <w:rsid w:val="003D32EC"/>
    <w:rsid w:val="003D34E6"/>
    <w:rsid w:val="003D35B6"/>
    <w:rsid w:val="003D3650"/>
    <w:rsid w:val="003D36B9"/>
    <w:rsid w:val="003D38BC"/>
    <w:rsid w:val="003D39CD"/>
    <w:rsid w:val="003D3A1D"/>
    <w:rsid w:val="003D3DC6"/>
    <w:rsid w:val="003D3F1D"/>
    <w:rsid w:val="003D3F81"/>
    <w:rsid w:val="003D4071"/>
    <w:rsid w:val="003D4564"/>
    <w:rsid w:val="003D4B4D"/>
    <w:rsid w:val="003D4CB6"/>
    <w:rsid w:val="003D5218"/>
    <w:rsid w:val="003D5241"/>
    <w:rsid w:val="003D5254"/>
    <w:rsid w:val="003D53D8"/>
    <w:rsid w:val="003D5509"/>
    <w:rsid w:val="003D55E9"/>
    <w:rsid w:val="003D5853"/>
    <w:rsid w:val="003D5935"/>
    <w:rsid w:val="003D5BA9"/>
    <w:rsid w:val="003D5E92"/>
    <w:rsid w:val="003D5FC7"/>
    <w:rsid w:val="003D60B3"/>
    <w:rsid w:val="003D6158"/>
    <w:rsid w:val="003D6295"/>
    <w:rsid w:val="003D6883"/>
    <w:rsid w:val="003D694D"/>
    <w:rsid w:val="003D6ACC"/>
    <w:rsid w:val="003D6C9C"/>
    <w:rsid w:val="003D6CB1"/>
    <w:rsid w:val="003D6E73"/>
    <w:rsid w:val="003D7049"/>
    <w:rsid w:val="003D713C"/>
    <w:rsid w:val="003D74CC"/>
    <w:rsid w:val="003D79D6"/>
    <w:rsid w:val="003D7B5B"/>
    <w:rsid w:val="003E0199"/>
    <w:rsid w:val="003E02EE"/>
    <w:rsid w:val="003E0358"/>
    <w:rsid w:val="003E0ADC"/>
    <w:rsid w:val="003E1297"/>
    <w:rsid w:val="003E13D9"/>
    <w:rsid w:val="003E165D"/>
    <w:rsid w:val="003E16A8"/>
    <w:rsid w:val="003E17D9"/>
    <w:rsid w:val="003E1907"/>
    <w:rsid w:val="003E1948"/>
    <w:rsid w:val="003E2253"/>
    <w:rsid w:val="003E233C"/>
    <w:rsid w:val="003E289A"/>
    <w:rsid w:val="003E298D"/>
    <w:rsid w:val="003E2A8D"/>
    <w:rsid w:val="003E2C8E"/>
    <w:rsid w:val="003E2D63"/>
    <w:rsid w:val="003E2FC7"/>
    <w:rsid w:val="003E3577"/>
    <w:rsid w:val="003E36B1"/>
    <w:rsid w:val="003E36C7"/>
    <w:rsid w:val="003E37EF"/>
    <w:rsid w:val="003E3824"/>
    <w:rsid w:val="003E38A2"/>
    <w:rsid w:val="003E3925"/>
    <w:rsid w:val="003E3C46"/>
    <w:rsid w:val="003E3E91"/>
    <w:rsid w:val="003E40D0"/>
    <w:rsid w:val="003E4352"/>
    <w:rsid w:val="003E4361"/>
    <w:rsid w:val="003E46F9"/>
    <w:rsid w:val="003E4752"/>
    <w:rsid w:val="003E47D7"/>
    <w:rsid w:val="003E47D8"/>
    <w:rsid w:val="003E48F6"/>
    <w:rsid w:val="003E4910"/>
    <w:rsid w:val="003E4AD5"/>
    <w:rsid w:val="003E5043"/>
    <w:rsid w:val="003E5090"/>
    <w:rsid w:val="003E5439"/>
    <w:rsid w:val="003E571C"/>
    <w:rsid w:val="003E58DD"/>
    <w:rsid w:val="003E5A28"/>
    <w:rsid w:val="003E5E4D"/>
    <w:rsid w:val="003E5E89"/>
    <w:rsid w:val="003E5F7E"/>
    <w:rsid w:val="003E65DD"/>
    <w:rsid w:val="003E6895"/>
    <w:rsid w:val="003E6A88"/>
    <w:rsid w:val="003E6B10"/>
    <w:rsid w:val="003E6B51"/>
    <w:rsid w:val="003E725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C59"/>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3E9"/>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5F2C"/>
    <w:rsid w:val="003F614E"/>
    <w:rsid w:val="003F6244"/>
    <w:rsid w:val="003F662F"/>
    <w:rsid w:val="003F6715"/>
    <w:rsid w:val="003F6994"/>
    <w:rsid w:val="003F6B3A"/>
    <w:rsid w:val="003F6CD2"/>
    <w:rsid w:val="003F6DB5"/>
    <w:rsid w:val="003F6DC8"/>
    <w:rsid w:val="003F6F1B"/>
    <w:rsid w:val="003F713D"/>
    <w:rsid w:val="003F748E"/>
    <w:rsid w:val="003F791E"/>
    <w:rsid w:val="003F7ABA"/>
    <w:rsid w:val="003F7B06"/>
    <w:rsid w:val="003F7C64"/>
    <w:rsid w:val="003F7DC5"/>
    <w:rsid w:val="003F7ED8"/>
    <w:rsid w:val="003F7EE3"/>
    <w:rsid w:val="003F7EE7"/>
    <w:rsid w:val="003F7EF7"/>
    <w:rsid w:val="003F7F45"/>
    <w:rsid w:val="00400190"/>
    <w:rsid w:val="00400459"/>
    <w:rsid w:val="0040046F"/>
    <w:rsid w:val="0040049A"/>
    <w:rsid w:val="004009E2"/>
    <w:rsid w:val="00400B51"/>
    <w:rsid w:val="00400C6C"/>
    <w:rsid w:val="00401013"/>
    <w:rsid w:val="00401123"/>
    <w:rsid w:val="0040127C"/>
    <w:rsid w:val="00401328"/>
    <w:rsid w:val="0040154B"/>
    <w:rsid w:val="004015AF"/>
    <w:rsid w:val="004016C2"/>
    <w:rsid w:val="00401807"/>
    <w:rsid w:val="004018A5"/>
    <w:rsid w:val="00401A6F"/>
    <w:rsid w:val="00401AD1"/>
    <w:rsid w:val="00401D95"/>
    <w:rsid w:val="0040227F"/>
    <w:rsid w:val="004022F4"/>
    <w:rsid w:val="004024D2"/>
    <w:rsid w:val="004026B5"/>
    <w:rsid w:val="00402CC3"/>
    <w:rsid w:val="004033BF"/>
    <w:rsid w:val="004033ED"/>
    <w:rsid w:val="00403709"/>
    <w:rsid w:val="00403949"/>
    <w:rsid w:val="00403958"/>
    <w:rsid w:val="0040396A"/>
    <w:rsid w:val="00403B33"/>
    <w:rsid w:val="00403B3C"/>
    <w:rsid w:val="00403B3D"/>
    <w:rsid w:val="00403CD3"/>
    <w:rsid w:val="00404017"/>
    <w:rsid w:val="004041C5"/>
    <w:rsid w:val="00404393"/>
    <w:rsid w:val="00404542"/>
    <w:rsid w:val="00404798"/>
    <w:rsid w:val="00404905"/>
    <w:rsid w:val="00404B1B"/>
    <w:rsid w:val="00404B88"/>
    <w:rsid w:val="00404BB4"/>
    <w:rsid w:val="00404C14"/>
    <w:rsid w:val="00404DA7"/>
    <w:rsid w:val="00404E03"/>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AE"/>
    <w:rsid w:val="004067BD"/>
    <w:rsid w:val="00406880"/>
    <w:rsid w:val="00406AC0"/>
    <w:rsid w:val="00406F2E"/>
    <w:rsid w:val="00406FD3"/>
    <w:rsid w:val="004070A1"/>
    <w:rsid w:val="00407500"/>
    <w:rsid w:val="00407596"/>
    <w:rsid w:val="004078E2"/>
    <w:rsid w:val="004078FD"/>
    <w:rsid w:val="00407C94"/>
    <w:rsid w:val="00407CFB"/>
    <w:rsid w:val="00407DCF"/>
    <w:rsid w:val="00407F34"/>
    <w:rsid w:val="004104A8"/>
    <w:rsid w:val="00410550"/>
    <w:rsid w:val="004107B3"/>
    <w:rsid w:val="00410A23"/>
    <w:rsid w:val="00410B05"/>
    <w:rsid w:val="00410C52"/>
    <w:rsid w:val="00410E18"/>
    <w:rsid w:val="00411087"/>
    <w:rsid w:val="004111C5"/>
    <w:rsid w:val="00411304"/>
    <w:rsid w:val="00411466"/>
    <w:rsid w:val="0041171F"/>
    <w:rsid w:val="00411ADF"/>
    <w:rsid w:val="00411BCC"/>
    <w:rsid w:val="00411DFC"/>
    <w:rsid w:val="00412484"/>
    <w:rsid w:val="0041265A"/>
    <w:rsid w:val="004126C8"/>
    <w:rsid w:val="0041294A"/>
    <w:rsid w:val="00412B72"/>
    <w:rsid w:val="00412B7D"/>
    <w:rsid w:val="004130DA"/>
    <w:rsid w:val="00413419"/>
    <w:rsid w:val="00413585"/>
    <w:rsid w:val="00413876"/>
    <w:rsid w:val="00413B93"/>
    <w:rsid w:val="00413CA5"/>
    <w:rsid w:val="00413E98"/>
    <w:rsid w:val="0041419E"/>
    <w:rsid w:val="0041450E"/>
    <w:rsid w:val="0041454A"/>
    <w:rsid w:val="00414881"/>
    <w:rsid w:val="00414C86"/>
    <w:rsid w:val="00414D44"/>
    <w:rsid w:val="00414E95"/>
    <w:rsid w:val="00414FCB"/>
    <w:rsid w:val="00415110"/>
    <w:rsid w:val="004151E4"/>
    <w:rsid w:val="00415554"/>
    <w:rsid w:val="004156A0"/>
    <w:rsid w:val="004156F4"/>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8D6"/>
    <w:rsid w:val="00420FE5"/>
    <w:rsid w:val="00421055"/>
    <w:rsid w:val="0042113D"/>
    <w:rsid w:val="0042114E"/>
    <w:rsid w:val="00421227"/>
    <w:rsid w:val="0042145F"/>
    <w:rsid w:val="00421498"/>
    <w:rsid w:val="0042163C"/>
    <w:rsid w:val="0042177D"/>
    <w:rsid w:val="00421C0C"/>
    <w:rsid w:val="00421F01"/>
    <w:rsid w:val="00422942"/>
    <w:rsid w:val="00422D37"/>
    <w:rsid w:val="00422E61"/>
    <w:rsid w:val="00423198"/>
    <w:rsid w:val="00423217"/>
    <w:rsid w:val="00423397"/>
    <w:rsid w:val="00423435"/>
    <w:rsid w:val="00423B88"/>
    <w:rsid w:val="00423BF2"/>
    <w:rsid w:val="00423E1D"/>
    <w:rsid w:val="00423F94"/>
    <w:rsid w:val="00423FC4"/>
    <w:rsid w:val="004241A7"/>
    <w:rsid w:val="004245B2"/>
    <w:rsid w:val="00424C81"/>
    <w:rsid w:val="00424D1C"/>
    <w:rsid w:val="004252BF"/>
    <w:rsid w:val="004252E0"/>
    <w:rsid w:val="00425373"/>
    <w:rsid w:val="004253AE"/>
    <w:rsid w:val="004254F7"/>
    <w:rsid w:val="0042553B"/>
    <w:rsid w:val="0042583F"/>
    <w:rsid w:val="0042589E"/>
    <w:rsid w:val="00425D20"/>
    <w:rsid w:val="00426022"/>
    <w:rsid w:val="004262A3"/>
    <w:rsid w:val="004264CE"/>
    <w:rsid w:val="0042655E"/>
    <w:rsid w:val="0042675C"/>
    <w:rsid w:val="00426BF9"/>
    <w:rsid w:val="00426C1A"/>
    <w:rsid w:val="00426C24"/>
    <w:rsid w:val="00426EBE"/>
    <w:rsid w:val="00427AC8"/>
    <w:rsid w:val="00427BB7"/>
    <w:rsid w:val="00427CE2"/>
    <w:rsid w:val="00427EBD"/>
    <w:rsid w:val="004300AC"/>
    <w:rsid w:val="00430107"/>
    <w:rsid w:val="00430301"/>
    <w:rsid w:val="004303B8"/>
    <w:rsid w:val="00430B0D"/>
    <w:rsid w:val="00430F1B"/>
    <w:rsid w:val="00431069"/>
    <w:rsid w:val="00431242"/>
    <w:rsid w:val="004312F0"/>
    <w:rsid w:val="00431A5E"/>
    <w:rsid w:val="00431DB4"/>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4FEA"/>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3D2"/>
    <w:rsid w:val="004414E2"/>
    <w:rsid w:val="004416FA"/>
    <w:rsid w:val="00441A00"/>
    <w:rsid w:val="00441C09"/>
    <w:rsid w:val="00441CE5"/>
    <w:rsid w:val="00441F9B"/>
    <w:rsid w:val="0044204C"/>
    <w:rsid w:val="0044213C"/>
    <w:rsid w:val="004426B9"/>
    <w:rsid w:val="00442B24"/>
    <w:rsid w:val="00442EF7"/>
    <w:rsid w:val="00442F91"/>
    <w:rsid w:val="0044306B"/>
    <w:rsid w:val="004432BF"/>
    <w:rsid w:val="004433AF"/>
    <w:rsid w:val="00443614"/>
    <w:rsid w:val="004438B8"/>
    <w:rsid w:val="00443E2D"/>
    <w:rsid w:val="00443F31"/>
    <w:rsid w:val="004440B1"/>
    <w:rsid w:val="004448BA"/>
    <w:rsid w:val="00444949"/>
    <w:rsid w:val="00444A99"/>
    <w:rsid w:val="00444DF6"/>
    <w:rsid w:val="00444F55"/>
    <w:rsid w:val="004451AF"/>
    <w:rsid w:val="004458AA"/>
    <w:rsid w:val="004459BE"/>
    <w:rsid w:val="00445B43"/>
    <w:rsid w:val="00445B98"/>
    <w:rsid w:val="00445EA2"/>
    <w:rsid w:val="00445F65"/>
    <w:rsid w:val="004463DC"/>
    <w:rsid w:val="004463DD"/>
    <w:rsid w:val="004463FE"/>
    <w:rsid w:val="0044664C"/>
    <w:rsid w:val="004466AD"/>
    <w:rsid w:val="00446701"/>
    <w:rsid w:val="00446BBA"/>
    <w:rsid w:val="00446C1C"/>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2E"/>
    <w:rsid w:val="00450F6F"/>
    <w:rsid w:val="00451A38"/>
    <w:rsid w:val="00451ACA"/>
    <w:rsid w:val="00451ADC"/>
    <w:rsid w:val="00451E11"/>
    <w:rsid w:val="00452176"/>
    <w:rsid w:val="0045219E"/>
    <w:rsid w:val="00452365"/>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4FB9"/>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2EE"/>
    <w:rsid w:val="004607CE"/>
    <w:rsid w:val="00460AD3"/>
    <w:rsid w:val="004610F0"/>
    <w:rsid w:val="004612F7"/>
    <w:rsid w:val="0046153B"/>
    <w:rsid w:val="0046177F"/>
    <w:rsid w:val="00461A75"/>
    <w:rsid w:val="00461AA1"/>
    <w:rsid w:val="00461C36"/>
    <w:rsid w:val="00461D4A"/>
    <w:rsid w:val="00461EBD"/>
    <w:rsid w:val="00461EF3"/>
    <w:rsid w:val="004621D4"/>
    <w:rsid w:val="00462672"/>
    <w:rsid w:val="004626CC"/>
    <w:rsid w:val="00462985"/>
    <w:rsid w:val="00462C92"/>
    <w:rsid w:val="00462D0F"/>
    <w:rsid w:val="00462D4A"/>
    <w:rsid w:val="0046302F"/>
    <w:rsid w:val="00463284"/>
    <w:rsid w:val="004638BC"/>
    <w:rsid w:val="00463BEA"/>
    <w:rsid w:val="00463D19"/>
    <w:rsid w:val="00463E7D"/>
    <w:rsid w:val="0046414F"/>
    <w:rsid w:val="0046475D"/>
    <w:rsid w:val="00464A49"/>
    <w:rsid w:val="00464A7A"/>
    <w:rsid w:val="00464CC8"/>
    <w:rsid w:val="00464D03"/>
    <w:rsid w:val="00464D42"/>
    <w:rsid w:val="00464E2F"/>
    <w:rsid w:val="0046538D"/>
    <w:rsid w:val="0046550B"/>
    <w:rsid w:val="004657AC"/>
    <w:rsid w:val="00465AF0"/>
    <w:rsid w:val="00465B27"/>
    <w:rsid w:val="00465C3F"/>
    <w:rsid w:val="00465C78"/>
    <w:rsid w:val="00465D22"/>
    <w:rsid w:val="00465DED"/>
    <w:rsid w:val="00465F9C"/>
    <w:rsid w:val="00466366"/>
    <w:rsid w:val="00466468"/>
    <w:rsid w:val="004665D9"/>
    <w:rsid w:val="00466733"/>
    <w:rsid w:val="00466864"/>
    <w:rsid w:val="004669D5"/>
    <w:rsid w:val="004669FB"/>
    <w:rsid w:val="00466D3F"/>
    <w:rsid w:val="00466D62"/>
    <w:rsid w:val="00466E0E"/>
    <w:rsid w:val="00466E9B"/>
    <w:rsid w:val="00467523"/>
    <w:rsid w:val="004677D5"/>
    <w:rsid w:val="00467AAF"/>
    <w:rsid w:val="00467AD2"/>
    <w:rsid w:val="00467B05"/>
    <w:rsid w:val="004702FF"/>
    <w:rsid w:val="00470A7B"/>
    <w:rsid w:val="00470B67"/>
    <w:rsid w:val="00470D83"/>
    <w:rsid w:val="00470EB0"/>
    <w:rsid w:val="00470F44"/>
    <w:rsid w:val="004710C0"/>
    <w:rsid w:val="0047121B"/>
    <w:rsid w:val="00471377"/>
    <w:rsid w:val="004713F0"/>
    <w:rsid w:val="00471731"/>
    <w:rsid w:val="004718E6"/>
    <w:rsid w:val="00471B42"/>
    <w:rsid w:val="004720D6"/>
    <w:rsid w:val="0047224D"/>
    <w:rsid w:val="004723BF"/>
    <w:rsid w:val="00472505"/>
    <w:rsid w:val="00472BF7"/>
    <w:rsid w:val="00472D45"/>
    <w:rsid w:val="00473075"/>
    <w:rsid w:val="004735C9"/>
    <w:rsid w:val="0047362F"/>
    <w:rsid w:val="0047382F"/>
    <w:rsid w:val="00473936"/>
    <w:rsid w:val="00474037"/>
    <w:rsid w:val="00474349"/>
    <w:rsid w:val="00474E2D"/>
    <w:rsid w:val="00474FA4"/>
    <w:rsid w:val="0047503A"/>
    <w:rsid w:val="00475683"/>
    <w:rsid w:val="0047579B"/>
    <w:rsid w:val="004757C8"/>
    <w:rsid w:val="00475A96"/>
    <w:rsid w:val="00475BA5"/>
    <w:rsid w:val="00475C22"/>
    <w:rsid w:val="00475F64"/>
    <w:rsid w:val="00476248"/>
    <w:rsid w:val="004762AC"/>
    <w:rsid w:val="0047632D"/>
    <w:rsid w:val="00476486"/>
    <w:rsid w:val="0047663A"/>
    <w:rsid w:val="0047665E"/>
    <w:rsid w:val="00476851"/>
    <w:rsid w:val="00476AB4"/>
    <w:rsid w:val="00476ECD"/>
    <w:rsid w:val="00476ED0"/>
    <w:rsid w:val="0047705A"/>
    <w:rsid w:val="004771DF"/>
    <w:rsid w:val="0047745D"/>
    <w:rsid w:val="004774FA"/>
    <w:rsid w:val="00477544"/>
    <w:rsid w:val="00477606"/>
    <w:rsid w:val="004776C5"/>
    <w:rsid w:val="00477B14"/>
    <w:rsid w:val="00477C01"/>
    <w:rsid w:val="00477CB0"/>
    <w:rsid w:val="00477CDC"/>
    <w:rsid w:val="00477EF2"/>
    <w:rsid w:val="004800CB"/>
    <w:rsid w:val="0048042B"/>
    <w:rsid w:val="00480447"/>
    <w:rsid w:val="00480560"/>
    <w:rsid w:val="004807F1"/>
    <w:rsid w:val="00480BA5"/>
    <w:rsid w:val="00480CF8"/>
    <w:rsid w:val="00481174"/>
    <w:rsid w:val="004811D5"/>
    <w:rsid w:val="00481301"/>
    <w:rsid w:val="00481742"/>
    <w:rsid w:val="004820D0"/>
    <w:rsid w:val="0048219E"/>
    <w:rsid w:val="004823D6"/>
    <w:rsid w:val="004824EE"/>
    <w:rsid w:val="00482E43"/>
    <w:rsid w:val="00483085"/>
    <w:rsid w:val="00483157"/>
    <w:rsid w:val="004834C1"/>
    <w:rsid w:val="0048356C"/>
    <w:rsid w:val="00483611"/>
    <w:rsid w:val="004836D9"/>
    <w:rsid w:val="004838AF"/>
    <w:rsid w:val="00483A49"/>
    <w:rsid w:val="00483B3C"/>
    <w:rsid w:val="00483D0D"/>
    <w:rsid w:val="00483D81"/>
    <w:rsid w:val="00483DF7"/>
    <w:rsid w:val="00483E9A"/>
    <w:rsid w:val="00483F07"/>
    <w:rsid w:val="00484056"/>
    <w:rsid w:val="0048409F"/>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DDA"/>
    <w:rsid w:val="00492F91"/>
    <w:rsid w:val="00493179"/>
    <w:rsid w:val="00493377"/>
    <w:rsid w:val="0049359B"/>
    <w:rsid w:val="00493614"/>
    <w:rsid w:val="0049369E"/>
    <w:rsid w:val="004937BF"/>
    <w:rsid w:val="00493949"/>
    <w:rsid w:val="00493AFB"/>
    <w:rsid w:val="00494109"/>
    <w:rsid w:val="0049412F"/>
    <w:rsid w:val="004941BB"/>
    <w:rsid w:val="004946FE"/>
    <w:rsid w:val="004948F6"/>
    <w:rsid w:val="004949F0"/>
    <w:rsid w:val="00494A20"/>
    <w:rsid w:val="00494A7D"/>
    <w:rsid w:val="00494B54"/>
    <w:rsid w:val="00494C10"/>
    <w:rsid w:val="0049517C"/>
    <w:rsid w:val="00495215"/>
    <w:rsid w:val="00495260"/>
    <w:rsid w:val="004953C9"/>
    <w:rsid w:val="004953E9"/>
    <w:rsid w:val="00495579"/>
    <w:rsid w:val="00495619"/>
    <w:rsid w:val="004957B6"/>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77C"/>
    <w:rsid w:val="004A080A"/>
    <w:rsid w:val="004A0840"/>
    <w:rsid w:val="004A0DB6"/>
    <w:rsid w:val="004A16AF"/>
    <w:rsid w:val="004A1DF6"/>
    <w:rsid w:val="004A1E6C"/>
    <w:rsid w:val="004A1F4F"/>
    <w:rsid w:val="004A26A7"/>
    <w:rsid w:val="004A2A0E"/>
    <w:rsid w:val="004A2D2A"/>
    <w:rsid w:val="004A2D69"/>
    <w:rsid w:val="004A2D71"/>
    <w:rsid w:val="004A3026"/>
    <w:rsid w:val="004A30D7"/>
    <w:rsid w:val="004A3152"/>
    <w:rsid w:val="004A3198"/>
    <w:rsid w:val="004A3263"/>
    <w:rsid w:val="004A3698"/>
    <w:rsid w:val="004A382D"/>
    <w:rsid w:val="004A3A53"/>
    <w:rsid w:val="004A40E1"/>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25"/>
    <w:rsid w:val="004A6847"/>
    <w:rsid w:val="004A6947"/>
    <w:rsid w:val="004A6B3C"/>
    <w:rsid w:val="004A6F0D"/>
    <w:rsid w:val="004A6F3C"/>
    <w:rsid w:val="004A7026"/>
    <w:rsid w:val="004A7032"/>
    <w:rsid w:val="004A7123"/>
    <w:rsid w:val="004A71A1"/>
    <w:rsid w:val="004A725D"/>
    <w:rsid w:val="004A7406"/>
    <w:rsid w:val="004A74D0"/>
    <w:rsid w:val="004A7A50"/>
    <w:rsid w:val="004A7BDF"/>
    <w:rsid w:val="004A7E83"/>
    <w:rsid w:val="004B01BC"/>
    <w:rsid w:val="004B021B"/>
    <w:rsid w:val="004B02AC"/>
    <w:rsid w:val="004B04DE"/>
    <w:rsid w:val="004B0635"/>
    <w:rsid w:val="004B0885"/>
    <w:rsid w:val="004B08B8"/>
    <w:rsid w:val="004B0E76"/>
    <w:rsid w:val="004B11A7"/>
    <w:rsid w:val="004B1371"/>
    <w:rsid w:val="004B1ABF"/>
    <w:rsid w:val="004B1B2F"/>
    <w:rsid w:val="004B1D08"/>
    <w:rsid w:val="004B2265"/>
    <w:rsid w:val="004B232F"/>
    <w:rsid w:val="004B271F"/>
    <w:rsid w:val="004B2734"/>
    <w:rsid w:val="004B28CD"/>
    <w:rsid w:val="004B2942"/>
    <w:rsid w:val="004B2C74"/>
    <w:rsid w:val="004B2DDE"/>
    <w:rsid w:val="004B2E4A"/>
    <w:rsid w:val="004B3058"/>
    <w:rsid w:val="004B309F"/>
    <w:rsid w:val="004B3191"/>
    <w:rsid w:val="004B33FE"/>
    <w:rsid w:val="004B3470"/>
    <w:rsid w:val="004B37C7"/>
    <w:rsid w:val="004B380A"/>
    <w:rsid w:val="004B3A75"/>
    <w:rsid w:val="004B3BAF"/>
    <w:rsid w:val="004B3C0A"/>
    <w:rsid w:val="004B3E1E"/>
    <w:rsid w:val="004B3F3F"/>
    <w:rsid w:val="004B3F78"/>
    <w:rsid w:val="004B3FDA"/>
    <w:rsid w:val="004B42E7"/>
    <w:rsid w:val="004B465F"/>
    <w:rsid w:val="004B484D"/>
    <w:rsid w:val="004B4C92"/>
    <w:rsid w:val="004B4E8C"/>
    <w:rsid w:val="004B4EDF"/>
    <w:rsid w:val="004B50C4"/>
    <w:rsid w:val="004B517B"/>
    <w:rsid w:val="004B51FC"/>
    <w:rsid w:val="004B53B9"/>
    <w:rsid w:val="004B5733"/>
    <w:rsid w:val="004B58EE"/>
    <w:rsid w:val="004B5A09"/>
    <w:rsid w:val="004B5A87"/>
    <w:rsid w:val="004B5D27"/>
    <w:rsid w:val="004B5F0E"/>
    <w:rsid w:val="004B5F60"/>
    <w:rsid w:val="004B6182"/>
    <w:rsid w:val="004B61E0"/>
    <w:rsid w:val="004B687E"/>
    <w:rsid w:val="004B69D6"/>
    <w:rsid w:val="004B6E17"/>
    <w:rsid w:val="004B6F1F"/>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CB6"/>
    <w:rsid w:val="004C1FD0"/>
    <w:rsid w:val="004C20BB"/>
    <w:rsid w:val="004C24FE"/>
    <w:rsid w:val="004C2BE2"/>
    <w:rsid w:val="004C2CF2"/>
    <w:rsid w:val="004C2DD6"/>
    <w:rsid w:val="004C2E70"/>
    <w:rsid w:val="004C2F7F"/>
    <w:rsid w:val="004C31A2"/>
    <w:rsid w:val="004C3238"/>
    <w:rsid w:val="004C377F"/>
    <w:rsid w:val="004C3AD9"/>
    <w:rsid w:val="004C3C3E"/>
    <w:rsid w:val="004C3CBF"/>
    <w:rsid w:val="004C3FE9"/>
    <w:rsid w:val="004C406D"/>
    <w:rsid w:val="004C4389"/>
    <w:rsid w:val="004C4527"/>
    <w:rsid w:val="004C45DC"/>
    <w:rsid w:val="004C4732"/>
    <w:rsid w:val="004C475D"/>
    <w:rsid w:val="004C49B8"/>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C7B7D"/>
    <w:rsid w:val="004C7F03"/>
    <w:rsid w:val="004D0245"/>
    <w:rsid w:val="004D02E2"/>
    <w:rsid w:val="004D057E"/>
    <w:rsid w:val="004D0859"/>
    <w:rsid w:val="004D0883"/>
    <w:rsid w:val="004D0961"/>
    <w:rsid w:val="004D0963"/>
    <w:rsid w:val="004D0BDB"/>
    <w:rsid w:val="004D0C2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1"/>
    <w:rsid w:val="004D3585"/>
    <w:rsid w:val="004D35AD"/>
    <w:rsid w:val="004D3BF2"/>
    <w:rsid w:val="004D3E8A"/>
    <w:rsid w:val="004D3E8D"/>
    <w:rsid w:val="004D3F29"/>
    <w:rsid w:val="004D3F3F"/>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CF1"/>
    <w:rsid w:val="004D6F5C"/>
    <w:rsid w:val="004D6F9C"/>
    <w:rsid w:val="004D73BE"/>
    <w:rsid w:val="004D75B2"/>
    <w:rsid w:val="004D7739"/>
    <w:rsid w:val="004D77AB"/>
    <w:rsid w:val="004D7929"/>
    <w:rsid w:val="004D7C14"/>
    <w:rsid w:val="004E041C"/>
    <w:rsid w:val="004E0554"/>
    <w:rsid w:val="004E0791"/>
    <w:rsid w:val="004E08E0"/>
    <w:rsid w:val="004E097A"/>
    <w:rsid w:val="004E09CD"/>
    <w:rsid w:val="004E13B1"/>
    <w:rsid w:val="004E19EA"/>
    <w:rsid w:val="004E2129"/>
    <w:rsid w:val="004E275F"/>
    <w:rsid w:val="004E27EC"/>
    <w:rsid w:val="004E2FF6"/>
    <w:rsid w:val="004E30DA"/>
    <w:rsid w:val="004E3161"/>
    <w:rsid w:val="004E324C"/>
    <w:rsid w:val="004E32AA"/>
    <w:rsid w:val="004E3310"/>
    <w:rsid w:val="004E348F"/>
    <w:rsid w:val="004E3693"/>
    <w:rsid w:val="004E390A"/>
    <w:rsid w:val="004E3A0E"/>
    <w:rsid w:val="004E3ACB"/>
    <w:rsid w:val="004E3C4D"/>
    <w:rsid w:val="004E41FA"/>
    <w:rsid w:val="004E4367"/>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272"/>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43"/>
    <w:rsid w:val="004F3D50"/>
    <w:rsid w:val="004F3D93"/>
    <w:rsid w:val="004F4146"/>
    <w:rsid w:val="004F41C9"/>
    <w:rsid w:val="004F435F"/>
    <w:rsid w:val="004F4493"/>
    <w:rsid w:val="004F4710"/>
    <w:rsid w:val="004F48AC"/>
    <w:rsid w:val="004F49AB"/>
    <w:rsid w:val="004F4AA4"/>
    <w:rsid w:val="004F4B9D"/>
    <w:rsid w:val="004F4D04"/>
    <w:rsid w:val="004F4F3C"/>
    <w:rsid w:val="004F51E3"/>
    <w:rsid w:val="004F51FB"/>
    <w:rsid w:val="004F541A"/>
    <w:rsid w:val="004F54DA"/>
    <w:rsid w:val="004F55DD"/>
    <w:rsid w:val="004F561F"/>
    <w:rsid w:val="004F570C"/>
    <w:rsid w:val="004F57E3"/>
    <w:rsid w:val="004F59B4"/>
    <w:rsid w:val="004F688F"/>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1FA8"/>
    <w:rsid w:val="0050206E"/>
    <w:rsid w:val="005020E8"/>
    <w:rsid w:val="00502637"/>
    <w:rsid w:val="00502829"/>
    <w:rsid w:val="005028F9"/>
    <w:rsid w:val="00502C79"/>
    <w:rsid w:val="0050345B"/>
    <w:rsid w:val="00503A44"/>
    <w:rsid w:val="00503AF6"/>
    <w:rsid w:val="00503B2A"/>
    <w:rsid w:val="005046C6"/>
    <w:rsid w:val="00504C66"/>
    <w:rsid w:val="00504E80"/>
    <w:rsid w:val="0050528E"/>
    <w:rsid w:val="005052DD"/>
    <w:rsid w:val="00505788"/>
    <w:rsid w:val="00505A8D"/>
    <w:rsid w:val="00505AFE"/>
    <w:rsid w:val="00505B3F"/>
    <w:rsid w:val="00505BCA"/>
    <w:rsid w:val="00505C32"/>
    <w:rsid w:val="00505D8F"/>
    <w:rsid w:val="0050604C"/>
    <w:rsid w:val="00506459"/>
    <w:rsid w:val="0050683A"/>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BC0"/>
    <w:rsid w:val="00511CA4"/>
    <w:rsid w:val="00511D64"/>
    <w:rsid w:val="00511DB2"/>
    <w:rsid w:val="00511ED5"/>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654"/>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CB4"/>
    <w:rsid w:val="00516D7B"/>
    <w:rsid w:val="00517196"/>
    <w:rsid w:val="00517325"/>
    <w:rsid w:val="005178BF"/>
    <w:rsid w:val="00517994"/>
    <w:rsid w:val="00517D84"/>
    <w:rsid w:val="00517E9F"/>
    <w:rsid w:val="00517EDC"/>
    <w:rsid w:val="00517FA1"/>
    <w:rsid w:val="0052014E"/>
    <w:rsid w:val="00520493"/>
    <w:rsid w:val="005208AE"/>
    <w:rsid w:val="00520969"/>
    <w:rsid w:val="00520BC1"/>
    <w:rsid w:val="00520BDC"/>
    <w:rsid w:val="00520C9E"/>
    <w:rsid w:val="00520CB8"/>
    <w:rsid w:val="00520E29"/>
    <w:rsid w:val="00521845"/>
    <w:rsid w:val="00521A1B"/>
    <w:rsid w:val="00521B0E"/>
    <w:rsid w:val="00521BB6"/>
    <w:rsid w:val="00521D36"/>
    <w:rsid w:val="0052255A"/>
    <w:rsid w:val="005228C0"/>
    <w:rsid w:val="005229C7"/>
    <w:rsid w:val="00522ECD"/>
    <w:rsid w:val="005230B3"/>
    <w:rsid w:val="005230D2"/>
    <w:rsid w:val="00523466"/>
    <w:rsid w:val="005236E6"/>
    <w:rsid w:val="00523984"/>
    <w:rsid w:val="00523B8D"/>
    <w:rsid w:val="00523DD2"/>
    <w:rsid w:val="00523E1B"/>
    <w:rsid w:val="00523F10"/>
    <w:rsid w:val="00524035"/>
    <w:rsid w:val="005242AF"/>
    <w:rsid w:val="00524A74"/>
    <w:rsid w:val="00524CB1"/>
    <w:rsid w:val="00524D6E"/>
    <w:rsid w:val="0052514B"/>
    <w:rsid w:val="0052539D"/>
    <w:rsid w:val="00525833"/>
    <w:rsid w:val="00525C0B"/>
    <w:rsid w:val="00526112"/>
    <w:rsid w:val="0052634E"/>
    <w:rsid w:val="005265AA"/>
    <w:rsid w:val="005265BE"/>
    <w:rsid w:val="00526679"/>
    <w:rsid w:val="005268DD"/>
    <w:rsid w:val="00526ADF"/>
    <w:rsid w:val="00526C75"/>
    <w:rsid w:val="00526D21"/>
    <w:rsid w:val="00526D3E"/>
    <w:rsid w:val="00526EC5"/>
    <w:rsid w:val="00526EF8"/>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1D96"/>
    <w:rsid w:val="00532013"/>
    <w:rsid w:val="005320AD"/>
    <w:rsid w:val="0053235B"/>
    <w:rsid w:val="00532464"/>
    <w:rsid w:val="00532607"/>
    <w:rsid w:val="00532647"/>
    <w:rsid w:val="0053270E"/>
    <w:rsid w:val="00532891"/>
    <w:rsid w:val="00532C20"/>
    <w:rsid w:val="00532C42"/>
    <w:rsid w:val="00532CC2"/>
    <w:rsid w:val="00532D06"/>
    <w:rsid w:val="00532FDE"/>
    <w:rsid w:val="00533439"/>
    <w:rsid w:val="005336C9"/>
    <w:rsid w:val="005338B8"/>
    <w:rsid w:val="00533A45"/>
    <w:rsid w:val="00533A50"/>
    <w:rsid w:val="00533AA9"/>
    <w:rsid w:val="00533E95"/>
    <w:rsid w:val="00533FE5"/>
    <w:rsid w:val="0053408C"/>
    <w:rsid w:val="00534502"/>
    <w:rsid w:val="00534684"/>
    <w:rsid w:val="005347F8"/>
    <w:rsid w:val="00534829"/>
    <w:rsid w:val="005348DE"/>
    <w:rsid w:val="00534A0D"/>
    <w:rsid w:val="00534C08"/>
    <w:rsid w:val="00535234"/>
    <w:rsid w:val="00535402"/>
    <w:rsid w:val="005358B3"/>
    <w:rsid w:val="00535FD4"/>
    <w:rsid w:val="005360D4"/>
    <w:rsid w:val="0053651E"/>
    <w:rsid w:val="005366D5"/>
    <w:rsid w:val="0053676B"/>
    <w:rsid w:val="00536808"/>
    <w:rsid w:val="005368C6"/>
    <w:rsid w:val="0053691B"/>
    <w:rsid w:val="005369D0"/>
    <w:rsid w:val="00536AA8"/>
    <w:rsid w:val="00536D15"/>
    <w:rsid w:val="0053713D"/>
    <w:rsid w:val="0053717A"/>
    <w:rsid w:val="005371D8"/>
    <w:rsid w:val="005373E3"/>
    <w:rsid w:val="0053747F"/>
    <w:rsid w:val="00537A42"/>
    <w:rsid w:val="00537A58"/>
    <w:rsid w:val="00537AF1"/>
    <w:rsid w:val="00537B0B"/>
    <w:rsid w:val="00537BF1"/>
    <w:rsid w:val="00537C2B"/>
    <w:rsid w:val="00537CEB"/>
    <w:rsid w:val="005400A6"/>
    <w:rsid w:val="005401B7"/>
    <w:rsid w:val="005402E0"/>
    <w:rsid w:val="00540354"/>
    <w:rsid w:val="005403ED"/>
    <w:rsid w:val="0054060F"/>
    <w:rsid w:val="005407E0"/>
    <w:rsid w:val="005408E5"/>
    <w:rsid w:val="0054093F"/>
    <w:rsid w:val="0054099D"/>
    <w:rsid w:val="00540A60"/>
    <w:rsid w:val="00540ABD"/>
    <w:rsid w:val="00540B5F"/>
    <w:rsid w:val="00540D67"/>
    <w:rsid w:val="00541179"/>
    <w:rsid w:val="00541471"/>
    <w:rsid w:val="00541687"/>
    <w:rsid w:val="005416F2"/>
    <w:rsid w:val="00541C0E"/>
    <w:rsid w:val="00541DCB"/>
    <w:rsid w:val="00542251"/>
    <w:rsid w:val="005423C2"/>
    <w:rsid w:val="0054252D"/>
    <w:rsid w:val="00542722"/>
    <w:rsid w:val="005427D0"/>
    <w:rsid w:val="005427F3"/>
    <w:rsid w:val="00543381"/>
    <w:rsid w:val="0054366E"/>
    <w:rsid w:val="0054369A"/>
    <w:rsid w:val="00543778"/>
    <w:rsid w:val="00543988"/>
    <w:rsid w:val="00543B74"/>
    <w:rsid w:val="00544030"/>
    <w:rsid w:val="00544235"/>
    <w:rsid w:val="005445B7"/>
    <w:rsid w:val="00544655"/>
    <w:rsid w:val="00544665"/>
    <w:rsid w:val="00544757"/>
    <w:rsid w:val="00544C91"/>
    <w:rsid w:val="00544E3A"/>
    <w:rsid w:val="00545112"/>
    <w:rsid w:val="00545218"/>
    <w:rsid w:val="00545386"/>
    <w:rsid w:val="005456D0"/>
    <w:rsid w:val="00545857"/>
    <w:rsid w:val="0054594F"/>
    <w:rsid w:val="00545990"/>
    <w:rsid w:val="00545A2E"/>
    <w:rsid w:val="00545D26"/>
    <w:rsid w:val="00545F54"/>
    <w:rsid w:val="00546014"/>
    <w:rsid w:val="0054619C"/>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54"/>
    <w:rsid w:val="00550736"/>
    <w:rsid w:val="00550916"/>
    <w:rsid w:val="00550998"/>
    <w:rsid w:val="00550B76"/>
    <w:rsid w:val="00550DE3"/>
    <w:rsid w:val="00551A4A"/>
    <w:rsid w:val="00551A78"/>
    <w:rsid w:val="00551D3D"/>
    <w:rsid w:val="00551EC7"/>
    <w:rsid w:val="005520BB"/>
    <w:rsid w:val="005521E0"/>
    <w:rsid w:val="00552AEE"/>
    <w:rsid w:val="00552D0E"/>
    <w:rsid w:val="00552E27"/>
    <w:rsid w:val="0055316D"/>
    <w:rsid w:val="00553440"/>
    <w:rsid w:val="00553491"/>
    <w:rsid w:val="005535D8"/>
    <w:rsid w:val="00553793"/>
    <w:rsid w:val="005538DD"/>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8B6"/>
    <w:rsid w:val="00557A70"/>
    <w:rsid w:val="00557BAA"/>
    <w:rsid w:val="00557EBD"/>
    <w:rsid w:val="00557EF8"/>
    <w:rsid w:val="0056014A"/>
    <w:rsid w:val="0056028C"/>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116"/>
    <w:rsid w:val="005642F2"/>
    <w:rsid w:val="005643E5"/>
    <w:rsid w:val="0056440A"/>
    <w:rsid w:val="00564541"/>
    <w:rsid w:val="00564569"/>
    <w:rsid w:val="0056457A"/>
    <w:rsid w:val="005645DA"/>
    <w:rsid w:val="005646BC"/>
    <w:rsid w:val="0056470D"/>
    <w:rsid w:val="005648BF"/>
    <w:rsid w:val="005648E9"/>
    <w:rsid w:val="00564AE5"/>
    <w:rsid w:val="00564BDD"/>
    <w:rsid w:val="00564EC5"/>
    <w:rsid w:val="00565625"/>
    <w:rsid w:val="00565959"/>
    <w:rsid w:val="00565B5B"/>
    <w:rsid w:val="00565C36"/>
    <w:rsid w:val="00565C47"/>
    <w:rsid w:val="005661A8"/>
    <w:rsid w:val="0056622C"/>
    <w:rsid w:val="005662FE"/>
    <w:rsid w:val="005663AE"/>
    <w:rsid w:val="005664C3"/>
    <w:rsid w:val="00566B42"/>
    <w:rsid w:val="00566BC7"/>
    <w:rsid w:val="00566FD9"/>
    <w:rsid w:val="005675A0"/>
    <w:rsid w:val="005675DB"/>
    <w:rsid w:val="005678DB"/>
    <w:rsid w:val="005679D7"/>
    <w:rsid w:val="00567FBB"/>
    <w:rsid w:val="00567FF8"/>
    <w:rsid w:val="00570114"/>
    <w:rsid w:val="00570385"/>
    <w:rsid w:val="005706A7"/>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8FC"/>
    <w:rsid w:val="00574D67"/>
    <w:rsid w:val="00575307"/>
    <w:rsid w:val="00575363"/>
    <w:rsid w:val="0057552F"/>
    <w:rsid w:val="005755AC"/>
    <w:rsid w:val="00575610"/>
    <w:rsid w:val="005756F0"/>
    <w:rsid w:val="00575922"/>
    <w:rsid w:val="00575988"/>
    <w:rsid w:val="00575AE5"/>
    <w:rsid w:val="00575CDC"/>
    <w:rsid w:val="00575E0F"/>
    <w:rsid w:val="00575E16"/>
    <w:rsid w:val="00575E82"/>
    <w:rsid w:val="00575F09"/>
    <w:rsid w:val="00576403"/>
    <w:rsid w:val="0057667F"/>
    <w:rsid w:val="00576A27"/>
    <w:rsid w:val="00576D33"/>
    <w:rsid w:val="00576D43"/>
    <w:rsid w:val="00576D68"/>
    <w:rsid w:val="00576DC6"/>
    <w:rsid w:val="00576FB2"/>
    <w:rsid w:val="0057729A"/>
    <w:rsid w:val="0057748F"/>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6B"/>
    <w:rsid w:val="0058208A"/>
    <w:rsid w:val="0058213D"/>
    <w:rsid w:val="005821BA"/>
    <w:rsid w:val="005826E1"/>
    <w:rsid w:val="00582809"/>
    <w:rsid w:val="00582835"/>
    <w:rsid w:val="00582980"/>
    <w:rsid w:val="00582A83"/>
    <w:rsid w:val="00582F04"/>
    <w:rsid w:val="0058357E"/>
    <w:rsid w:val="005835B6"/>
    <w:rsid w:val="00583686"/>
    <w:rsid w:val="0058399E"/>
    <w:rsid w:val="00583BE5"/>
    <w:rsid w:val="00583D0B"/>
    <w:rsid w:val="00583DB0"/>
    <w:rsid w:val="00583EAC"/>
    <w:rsid w:val="00583F0C"/>
    <w:rsid w:val="00583F89"/>
    <w:rsid w:val="00583FED"/>
    <w:rsid w:val="005842D2"/>
    <w:rsid w:val="00584354"/>
    <w:rsid w:val="00584406"/>
    <w:rsid w:val="00584503"/>
    <w:rsid w:val="005848BA"/>
    <w:rsid w:val="005848F2"/>
    <w:rsid w:val="00584D65"/>
    <w:rsid w:val="00584D76"/>
    <w:rsid w:val="00585063"/>
    <w:rsid w:val="0058555E"/>
    <w:rsid w:val="00585648"/>
    <w:rsid w:val="005856F5"/>
    <w:rsid w:val="00585719"/>
    <w:rsid w:val="00585ABB"/>
    <w:rsid w:val="00585E4E"/>
    <w:rsid w:val="00585F09"/>
    <w:rsid w:val="00585F3A"/>
    <w:rsid w:val="005860AC"/>
    <w:rsid w:val="0058614B"/>
    <w:rsid w:val="005862E6"/>
    <w:rsid w:val="0058641D"/>
    <w:rsid w:val="00586666"/>
    <w:rsid w:val="00586706"/>
    <w:rsid w:val="005868BC"/>
    <w:rsid w:val="00586C8C"/>
    <w:rsid w:val="00586CA1"/>
    <w:rsid w:val="00586D03"/>
    <w:rsid w:val="0058709F"/>
    <w:rsid w:val="00587170"/>
    <w:rsid w:val="005873BA"/>
    <w:rsid w:val="005876B6"/>
    <w:rsid w:val="0058775E"/>
    <w:rsid w:val="00587F21"/>
    <w:rsid w:val="00587FAE"/>
    <w:rsid w:val="005905A8"/>
    <w:rsid w:val="005908E5"/>
    <w:rsid w:val="0059099D"/>
    <w:rsid w:val="00590E0C"/>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02B"/>
    <w:rsid w:val="00593051"/>
    <w:rsid w:val="00593543"/>
    <w:rsid w:val="00593A72"/>
    <w:rsid w:val="00593C92"/>
    <w:rsid w:val="00593E74"/>
    <w:rsid w:val="00593F9B"/>
    <w:rsid w:val="00593FA4"/>
    <w:rsid w:val="00594011"/>
    <w:rsid w:val="0059432F"/>
    <w:rsid w:val="00594341"/>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92"/>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13"/>
    <w:rsid w:val="005A039A"/>
    <w:rsid w:val="005A03E8"/>
    <w:rsid w:val="005A0501"/>
    <w:rsid w:val="005A0823"/>
    <w:rsid w:val="005A0A53"/>
    <w:rsid w:val="005A0D02"/>
    <w:rsid w:val="005A0E02"/>
    <w:rsid w:val="005A0F31"/>
    <w:rsid w:val="005A15AC"/>
    <w:rsid w:val="005A170D"/>
    <w:rsid w:val="005A1842"/>
    <w:rsid w:val="005A19DE"/>
    <w:rsid w:val="005A1A64"/>
    <w:rsid w:val="005A1C91"/>
    <w:rsid w:val="005A232E"/>
    <w:rsid w:val="005A233F"/>
    <w:rsid w:val="005A2353"/>
    <w:rsid w:val="005A254F"/>
    <w:rsid w:val="005A2D7B"/>
    <w:rsid w:val="005A2D86"/>
    <w:rsid w:val="005A3160"/>
    <w:rsid w:val="005A31F4"/>
    <w:rsid w:val="005A32EC"/>
    <w:rsid w:val="005A3364"/>
    <w:rsid w:val="005A33D8"/>
    <w:rsid w:val="005A354C"/>
    <w:rsid w:val="005A35C1"/>
    <w:rsid w:val="005A3AC7"/>
    <w:rsid w:val="005A3CAC"/>
    <w:rsid w:val="005A3F02"/>
    <w:rsid w:val="005A3FEF"/>
    <w:rsid w:val="005A4479"/>
    <w:rsid w:val="005A464C"/>
    <w:rsid w:val="005A465A"/>
    <w:rsid w:val="005A47AC"/>
    <w:rsid w:val="005A4810"/>
    <w:rsid w:val="005A48F9"/>
    <w:rsid w:val="005A4B92"/>
    <w:rsid w:val="005A4D54"/>
    <w:rsid w:val="005A4DF2"/>
    <w:rsid w:val="005A52D4"/>
    <w:rsid w:val="005A5302"/>
    <w:rsid w:val="005A597F"/>
    <w:rsid w:val="005A5997"/>
    <w:rsid w:val="005A5C2C"/>
    <w:rsid w:val="005A5CE4"/>
    <w:rsid w:val="005A5E22"/>
    <w:rsid w:val="005A606F"/>
    <w:rsid w:val="005A648F"/>
    <w:rsid w:val="005A693F"/>
    <w:rsid w:val="005A694A"/>
    <w:rsid w:val="005A6963"/>
    <w:rsid w:val="005A6AD2"/>
    <w:rsid w:val="005A6E76"/>
    <w:rsid w:val="005A705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2F"/>
    <w:rsid w:val="005B2D6F"/>
    <w:rsid w:val="005B2ED7"/>
    <w:rsid w:val="005B3013"/>
    <w:rsid w:val="005B3122"/>
    <w:rsid w:val="005B31F3"/>
    <w:rsid w:val="005B335D"/>
    <w:rsid w:val="005B33F4"/>
    <w:rsid w:val="005B3431"/>
    <w:rsid w:val="005B3A1B"/>
    <w:rsid w:val="005B3B75"/>
    <w:rsid w:val="005B3BC0"/>
    <w:rsid w:val="005B3E41"/>
    <w:rsid w:val="005B3FDD"/>
    <w:rsid w:val="005B4506"/>
    <w:rsid w:val="005B46B3"/>
    <w:rsid w:val="005B47CF"/>
    <w:rsid w:val="005B47E1"/>
    <w:rsid w:val="005B4D19"/>
    <w:rsid w:val="005B4D54"/>
    <w:rsid w:val="005B4D98"/>
    <w:rsid w:val="005B4FAE"/>
    <w:rsid w:val="005B504D"/>
    <w:rsid w:val="005B510E"/>
    <w:rsid w:val="005B5170"/>
    <w:rsid w:val="005B55EB"/>
    <w:rsid w:val="005B58DB"/>
    <w:rsid w:val="005B5A31"/>
    <w:rsid w:val="005B5D09"/>
    <w:rsid w:val="005B63B7"/>
    <w:rsid w:val="005B6439"/>
    <w:rsid w:val="005B66BF"/>
    <w:rsid w:val="005B6A72"/>
    <w:rsid w:val="005B6F58"/>
    <w:rsid w:val="005B6FF8"/>
    <w:rsid w:val="005B7005"/>
    <w:rsid w:val="005B71F6"/>
    <w:rsid w:val="005B7315"/>
    <w:rsid w:val="005B7421"/>
    <w:rsid w:val="005B7547"/>
    <w:rsid w:val="005B7778"/>
    <w:rsid w:val="005B7859"/>
    <w:rsid w:val="005B7AA7"/>
    <w:rsid w:val="005B7BA7"/>
    <w:rsid w:val="005B7C30"/>
    <w:rsid w:val="005B7C70"/>
    <w:rsid w:val="005B7F02"/>
    <w:rsid w:val="005B7F19"/>
    <w:rsid w:val="005C0337"/>
    <w:rsid w:val="005C05EA"/>
    <w:rsid w:val="005C05EE"/>
    <w:rsid w:val="005C0648"/>
    <w:rsid w:val="005C080B"/>
    <w:rsid w:val="005C0D2E"/>
    <w:rsid w:val="005C1370"/>
    <w:rsid w:val="005C1B32"/>
    <w:rsid w:val="005C1DDA"/>
    <w:rsid w:val="005C20A7"/>
    <w:rsid w:val="005C25A7"/>
    <w:rsid w:val="005C286F"/>
    <w:rsid w:val="005C2B7C"/>
    <w:rsid w:val="005C2CF7"/>
    <w:rsid w:val="005C306F"/>
    <w:rsid w:val="005C331E"/>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2AE"/>
    <w:rsid w:val="005C5A44"/>
    <w:rsid w:val="005C5BE0"/>
    <w:rsid w:val="005C5C99"/>
    <w:rsid w:val="005C5D37"/>
    <w:rsid w:val="005C5FC6"/>
    <w:rsid w:val="005C61A0"/>
    <w:rsid w:val="005C6262"/>
    <w:rsid w:val="005C6357"/>
    <w:rsid w:val="005C65DD"/>
    <w:rsid w:val="005C6641"/>
    <w:rsid w:val="005C675D"/>
    <w:rsid w:val="005C67A7"/>
    <w:rsid w:val="005C69F4"/>
    <w:rsid w:val="005C6C28"/>
    <w:rsid w:val="005C6EA6"/>
    <w:rsid w:val="005C7026"/>
    <w:rsid w:val="005C7C27"/>
    <w:rsid w:val="005C7D15"/>
    <w:rsid w:val="005C7F61"/>
    <w:rsid w:val="005D0036"/>
    <w:rsid w:val="005D080D"/>
    <w:rsid w:val="005D0922"/>
    <w:rsid w:val="005D0B2F"/>
    <w:rsid w:val="005D0BEB"/>
    <w:rsid w:val="005D0D60"/>
    <w:rsid w:val="005D0ECC"/>
    <w:rsid w:val="005D1339"/>
    <w:rsid w:val="005D16D1"/>
    <w:rsid w:val="005D181D"/>
    <w:rsid w:val="005D18B2"/>
    <w:rsid w:val="005D1B0B"/>
    <w:rsid w:val="005D1D45"/>
    <w:rsid w:val="005D2404"/>
    <w:rsid w:val="005D27EC"/>
    <w:rsid w:val="005D2849"/>
    <w:rsid w:val="005D295E"/>
    <w:rsid w:val="005D29DF"/>
    <w:rsid w:val="005D2CEC"/>
    <w:rsid w:val="005D2D36"/>
    <w:rsid w:val="005D310B"/>
    <w:rsid w:val="005D3114"/>
    <w:rsid w:val="005D318C"/>
    <w:rsid w:val="005D31CC"/>
    <w:rsid w:val="005D3310"/>
    <w:rsid w:val="005D3427"/>
    <w:rsid w:val="005D345E"/>
    <w:rsid w:val="005D34DB"/>
    <w:rsid w:val="005D35C9"/>
    <w:rsid w:val="005D372F"/>
    <w:rsid w:val="005D397C"/>
    <w:rsid w:val="005D39DA"/>
    <w:rsid w:val="005D41A3"/>
    <w:rsid w:val="005D42EA"/>
    <w:rsid w:val="005D43C3"/>
    <w:rsid w:val="005D4494"/>
    <w:rsid w:val="005D45F0"/>
    <w:rsid w:val="005D47C0"/>
    <w:rsid w:val="005D47C6"/>
    <w:rsid w:val="005D4A69"/>
    <w:rsid w:val="005D4A73"/>
    <w:rsid w:val="005D4C5D"/>
    <w:rsid w:val="005D4E68"/>
    <w:rsid w:val="005D4F4D"/>
    <w:rsid w:val="005D50AD"/>
    <w:rsid w:val="005D518C"/>
    <w:rsid w:val="005D528D"/>
    <w:rsid w:val="005D56E0"/>
    <w:rsid w:val="005D5BA9"/>
    <w:rsid w:val="005D60F4"/>
    <w:rsid w:val="005D62A3"/>
    <w:rsid w:val="005D6373"/>
    <w:rsid w:val="005D664A"/>
    <w:rsid w:val="005D672D"/>
    <w:rsid w:val="005D68AB"/>
    <w:rsid w:val="005D6C0B"/>
    <w:rsid w:val="005D6D93"/>
    <w:rsid w:val="005D6EDA"/>
    <w:rsid w:val="005D704B"/>
    <w:rsid w:val="005D70D2"/>
    <w:rsid w:val="005D74E6"/>
    <w:rsid w:val="005D75EF"/>
    <w:rsid w:val="005D762A"/>
    <w:rsid w:val="005D76B7"/>
    <w:rsid w:val="005D7700"/>
    <w:rsid w:val="005D7C00"/>
    <w:rsid w:val="005E0078"/>
    <w:rsid w:val="005E070B"/>
    <w:rsid w:val="005E071C"/>
    <w:rsid w:val="005E088D"/>
    <w:rsid w:val="005E08CF"/>
    <w:rsid w:val="005E090A"/>
    <w:rsid w:val="005E0964"/>
    <w:rsid w:val="005E0B23"/>
    <w:rsid w:val="005E0B62"/>
    <w:rsid w:val="005E0DB8"/>
    <w:rsid w:val="005E0E26"/>
    <w:rsid w:val="005E1091"/>
    <w:rsid w:val="005E1346"/>
    <w:rsid w:val="005E159E"/>
    <w:rsid w:val="005E169E"/>
    <w:rsid w:val="005E1769"/>
    <w:rsid w:val="005E1850"/>
    <w:rsid w:val="005E1888"/>
    <w:rsid w:val="005E188D"/>
    <w:rsid w:val="005E1B2D"/>
    <w:rsid w:val="005E1B4D"/>
    <w:rsid w:val="005E1E12"/>
    <w:rsid w:val="005E2122"/>
    <w:rsid w:val="005E2479"/>
    <w:rsid w:val="005E26EF"/>
    <w:rsid w:val="005E2742"/>
    <w:rsid w:val="005E29E6"/>
    <w:rsid w:val="005E2C12"/>
    <w:rsid w:val="005E2CB5"/>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3C5"/>
    <w:rsid w:val="005E647F"/>
    <w:rsid w:val="005E6618"/>
    <w:rsid w:val="005E67EF"/>
    <w:rsid w:val="005E6935"/>
    <w:rsid w:val="005E7098"/>
    <w:rsid w:val="005E73BF"/>
    <w:rsid w:val="005E73C4"/>
    <w:rsid w:val="005E7488"/>
    <w:rsid w:val="005E74F5"/>
    <w:rsid w:val="005E7649"/>
    <w:rsid w:val="005E7A77"/>
    <w:rsid w:val="005E7D21"/>
    <w:rsid w:val="005E7D2D"/>
    <w:rsid w:val="005F0441"/>
    <w:rsid w:val="005F058E"/>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9EF"/>
    <w:rsid w:val="005F5B04"/>
    <w:rsid w:val="005F5B26"/>
    <w:rsid w:val="005F5C17"/>
    <w:rsid w:val="005F5D92"/>
    <w:rsid w:val="005F62E7"/>
    <w:rsid w:val="005F6511"/>
    <w:rsid w:val="005F6764"/>
    <w:rsid w:val="005F6820"/>
    <w:rsid w:val="005F6B2D"/>
    <w:rsid w:val="005F6CEC"/>
    <w:rsid w:val="005F6CF4"/>
    <w:rsid w:val="005F7243"/>
    <w:rsid w:val="005F74A2"/>
    <w:rsid w:val="005F7539"/>
    <w:rsid w:val="005F76E0"/>
    <w:rsid w:val="005F7771"/>
    <w:rsid w:val="005F793A"/>
    <w:rsid w:val="005F7955"/>
    <w:rsid w:val="005F7991"/>
    <w:rsid w:val="005F7A5F"/>
    <w:rsid w:val="005F7CC5"/>
    <w:rsid w:val="005F7CF9"/>
    <w:rsid w:val="005F7DA6"/>
    <w:rsid w:val="005F7FCF"/>
    <w:rsid w:val="0060034E"/>
    <w:rsid w:val="0060051C"/>
    <w:rsid w:val="00600E95"/>
    <w:rsid w:val="006012CD"/>
    <w:rsid w:val="0060147C"/>
    <w:rsid w:val="006014DF"/>
    <w:rsid w:val="00601666"/>
    <w:rsid w:val="00601882"/>
    <w:rsid w:val="00601B27"/>
    <w:rsid w:val="00601D1B"/>
    <w:rsid w:val="00601FC5"/>
    <w:rsid w:val="00602148"/>
    <w:rsid w:val="0060223B"/>
    <w:rsid w:val="0060230A"/>
    <w:rsid w:val="00602761"/>
    <w:rsid w:val="00602B12"/>
    <w:rsid w:val="00602BA0"/>
    <w:rsid w:val="00602CC0"/>
    <w:rsid w:val="00602D58"/>
    <w:rsid w:val="00602F55"/>
    <w:rsid w:val="00602FFC"/>
    <w:rsid w:val="006035A2"/>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5F61"/>
    <w:rsid w:val="006060BF"/>
    <w:rsid w:val="00606274"/>
    <w:rsid w:val="0060632E"/>
    <w:rsid w:val="00606581"/>
    <w:rsid w:val="006068B2"/>
    <w:rsid w:val="006068E2"/>
    <w:rsid w:val="00606B63"/>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4"/>
    <w:rsid w:val="006108AB"/>
    <w:rsid w:val="00610AB5"/>
    <w:rsid w:val="00610C59"/>
    <w:rsid w:val="00611758"/>
    <w:rsid w:val="006117E1"/>
    <w:rsid w:val="006119CE"/>
    <w:rsid w:val="00611EA3"/>
    <w:rsid w:val="00612016"/>
    <w:rsid w:val="0061224A"/>
    <w:rsid w:val="00612337"/>
    <w:rsid w:val="0061236C"/>
    <w:rsid w:val="00612484"/>
    <w:rsid w:val="006125AB"/>
    <w:rsid w:val="006129BB"/>
    <w:rsid w:val="00612AAF"/>
    <w:rsid w:val="00612E32"/>
    <w:rsid w:val="00612FC7"/>
    <w:rsid w:val="00612FE8"/>
    <w:rsid w:val="006130B1"/>
    <w:rsid w:val="006134E5"/>
    <w:rsid w:val="00613530"/>
    <w:rsid w:val="00613543"/>
    <w:rsid w:val="006138D9"/>
    <w:rsid w:val="00613988"/>
    <w:rsid w:val="00613FBE"/>
    <w:rsid w:val="00614497"/>
    <w:rsid w:val="0061453E"/>
    <w:rsid w:val="0061487C"/>
    <w:rsid w:val="006149E9"/>
    <w:rsid w:val="0061502A"/>
    <w:rsid w:val="0061511D"/>
    <w:rsid w:val="006153D0"/>
    <w:rsid w:val="006154C5"/>
    <w:rsid w:val="006154E6"/>
    <w:rsid w:val="0061574E"/>
    <w:rsid w:val="006157EC"/>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37E"/>
    <w:rsid w:val="006215B4"/>
    <w:rsid w:val="0062181F"/>
    <w:rsid w:val="00621A34"/>
    <w:rsid w:val="00621BCE"/>
    <w:rsid w:val="00621C61"/>
    <w:rsid w:val="00621F8A"/>
    <w:rsid w:val="00621FC6"/>
    <w:rsid w:val="006221B2"/>
    <w:rsid w:val="006223D9"/>
    <w:rsid w:val="006224A4"/>
    <w:rsid w:val="00622599"/>
    <w:rsid w:val="0062259F"/>
    <w:rsid w:val="006225A3"/>
    <w:rsid w:val="0062288D"/>
    <w:rsid w:val="00622E2E"/>
    <w:rsid w:val="00623077"/>
    <w:rsid w:val="006231F0"/>
    <w:rsid w:val="00623375"/>
    <w:rsid w:val="0062377F"/>
    <w:rsid w:val="00623896"/>
    <w:rsid w:val="00623AF8"/>
    <w:rsid w:val="006244DA"/>
    <w:rsid w:val="00624555"/>
    <w:rsid w:val="0062487B"/>
    <w:rsid w:val="00624BA1"/>
    <w:rsid w:val="00624D54"/>
    <w:rsid w:val="00624E26"/>
    <w:rsid w:val="00624E3D"/>
    <w:rsid w:val="00624F6E"/>
    <w:rsid w:val="0062519F"/>
    <w:rsid w:val="0062530B"/>
    <w:rsid w:val="00625385"/>
    <w:rsid w:val="00625686"/>
    <w:rsid w:val="006257D4"/>
    <w:rsid w:val="00625ABB"/>
    <w:rsid w:val="00625AC8"/>
    <w:rsid w:val="00625D4B"/>
    <w:rsid w:val="00625F7F"/>
    <w:rsid w:val="00626097"/>
    <w:rsid w:val="0062614F"/>
    <w:rsid w:val="0062622B"/>
    <w:rsid w:val="00626378"/>
    <w:rsid w:val="00626654"/>
    <w:rsid w:val="00626EB7"/>
    <w:rsid w:val="00627316"/>
    <w:rsid w:val="00627663"/>
    <w:rsid w:val="006276C9"/>
    <w:rsid w:val="00627707"/>
    <w:rsid w:val="006279B3"/>
    <w:rsid w:val="00627ADB"/>
    <w:rsid w:val="00627B4F"/>
    <w:rsid w:val="00627CC7"/>
    <w:rsid w:val="00627DCF"/>
    <w:rsid w:val="00627F2E"/>
    <w:rsid w:val="00630060"/>
    <w:rsid w:val="00630072"/>
    <w:rsid w:val="006300B0"/>
    <w:rsid w:val="0063013E"/>
    <w:rsid w:val="00630371"/>
    <w:rsid w:val="00630593"/>
    <w:rsid w:val="00630771"/>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497"/>
    <w:rsid w:val="0063259E"/>
    <w:rsid w:val="006326E7"/>
    <w:rsid w:val="0063273A"/>
    <w:rsid w:val="0063274C"/>
    <w:rsid w:val="00632AE6"/>
    <w:rsid w:val="00632FAD"/>
    <w:rsid w:val="0063308A"/>
    <w:rsid w:val="006333B6"/>
    <w:rsid w:val="006339F5"/>
    <w:rsid w:val="00633D0F"/>
    <w:rsid w:val="0063415C"/>
    <w:rsid w:val="0063418C"/>
    <w:rsid w:val="00634224"/>
    <w:rsid w:val="0063425A"/>
    <w:rsid w:val="006342C4"/>
    <w:rsid w:val="00634407"/>
    <w:rsid w:val="00634B84"/>
    <w:rsid w:val="006350C3"/>
    <w:rsid w:val="00635253"/>
    <w:rsid w:val="0063587F"/>
    <w:rsid w:val="006359FC"/>
    <w:rsid w:val="00635A6B"/>
    <w:rsid w:val="00635D9E"/>
    <w:rsid w:val="00635E74"/>
    <w:rsid w:val="00635EFB"/>
    <w:rsid w:val="00636345"/>
    <w:rsid w:val="00636697"/>
    <w:rsid w:val="006369EE"/>
    <w:rsid w:val="00636AF5"/>
    <w:rsid w:val="00636CB8"/>
    <w:rsid w:val="00636CE7"/>
    <w:rsid w:val="00636EFE"/>
    <w:rsid w:val="00637355"/>
    <w:rsid w:val="006375AC"/>
    <w:rsid w:val="00637747"/>
    <w:rsid w:val="006377EB"/>
    <w:rsid w:val="00637BD0"/>
    <w:rsid w:val="00637BDB"/>
    <w:rsid w:val="00637C54"/>
    <w:rsid w:val="006401B6"/>
    <w:rsid w:val="00640444"/>
    <w:rsid w:val="006404A9"/>
    <w:rsid w:val="00640543"/>
    <w:rsid w:val="006405D5"/>
    <w:rsid w:val="00640F12"/>
    <w:rsid w:val="00641064"/>
    <w:rsid w:val="006416A6"/>
    <w:rsid w:val="006416F4"/>
    <w:rsid w:val="00641814"/>
    <w:rsid w:val="00641D60"/>
    <w:rsid w:val="00641E93"/>
    <w:rsid w:val="00641EA9"/>
    <w:rsid w:val="00641ED1"/>
    <w:rsid w:val="00641F90"/>
    <w:rsid w:val="0064257E"/>
    <w:rsid w:val="00642752"/>
    <w:rsid w:val="00642760"/>
    <w:rsid w:val="0064276F"/>
    <w:rsid w:val="00642E2E"/>
    <w:rsid w:val="00642E6E"/>
    <w:rsid w:val="006431E8"/>
    <w:rsid w:val="00643869"/>
    <w:rsid w:val="00643B24"/>
    <w:rsid w:val="0064403A"/>
    <w:rsid w:val="0064408E"/>
    <w:rsid w:val="006443BD"/>
    <w:rsid w:val="006446B5"/>
    <w:rsid w:val="00644EC7"/>
    <w:rsid w:val="00645072"/>
    <w:rsid w:val="006450B9"/>
    <w:rsid w:val="006454E3"/>
    <w:rsid w:val="00645525"/>
    <w:rsid w:val="006458BB"/>
    <w:rsid w:val="006459F8"/>
    <w:rsid w:val="00645A59"/>
    <w:rsid w:val="00645A5F"/>
    <w:rsid w:val="00645B64"/>
    <w:rsid w:val="00645BA1"/>
    <w:rsid w:val="00645D6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1E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2F0E"/>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45"/>
    <w:rsid w:val="00655AF0"/>
    <w:rsid w:val="00655CB2"/>
    <w:rsid w:val="00655E97"/>
    <w:rsid w:val="00656419"/>
    <w:rsid w:val="00656488"/>
    <w:rsid w:val="00656588"/>
    <w:rsid w:val="00656B4C"/>
    <w:rsid w:val="00656BBA"/>
    <w:rsid w:val="00656C37"/>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191"/>
    <w:rsid w:val="006616B1"/>
    <w:rsid w:val="006616E6"/>
    <w:rsid w:val="00661CB1"/>
    <w:rsid w:val="00661D8C"/>
    <w:rsid w:val="00661E74"/>
    <w:rsid w:val="00661E76"/>
    <w:rsid w:val="00661EB5"/>
    <w:rsid w:val="0066208C"/>
    <w:rsid w:val="006626AE"/>
    <w:rsid w:val="006628C5"/>
    <w:rsid w:val="0066290D"/>
    <w:rsid w:val="00662F0A"/>
    <w:rsid w:val="00663309"/>
    <w:rsid w:val="0066340C"/>
    <w:rsid w:val="006634A2"/>
    <w:rsid w:val="0066369F"/>
    <w:rsid w:val="00663852"/>
    <w:rsid w:val="00663958"/>
    <w:rsid w:val="00664045"/>
    <w:rsid w:val="00664173"/>
    <w:rsid w:val="00664D4E"/>
    <w:rsid w:val="00664DE7"/>
    <w:rsid w:val="00665869"/>
    <w:rsid w:val="00665C0E"/>
    <w:rsid w:val="00665CB7"/>
    <w:rsid w:val="00665EDD"/>
    <w:rsid w:val="00665FD1"/>
    <w:rsid w:val="0066605D"/>
    <w:rsid w:val="00666295"/>
    <w:rsid w:val="006663C1"/>
    <w:rsid w:val="00666699"/>
    <w:rsid w:val="00666C89"/>
    <w:rsid w:val="0066705C"/>
    <w:rsid w:val="006671E4"/>
    <w:rsid w:val="00667237"/>
    <w:rsid w:val="00667524"/>
    <w:rsid w:val="006675B6"/>
    <w:rsid w:val="00667743"/>
    <w:rsid w:val="00667868"/>
    <w:rsid w:val="00667929"/>
    <w:rsid w:val="00667DD8"/>
    <w:rsid w:val="00667E38"/>
    <w:rsid w:val="00667FF5"/>
    <w:rsid w:val="0067021D"/>
    <w:rsid w:val="00670240"/>
    <w:rsid w:val="00670841"/>
    <w:rsid w:val="00670AB5"/>
    <w:rsid w:val="00670BC6"/>
    <w:rsid w:val="00670E58"/>
    <w:rsid w:val="00670EE3"/>
    <w:rsid w:val="0067141E"/>
    <w:rsid w:val="0067154F"/>
    <w:rsid w:val="006716F1"/>
    <w:rsid w:val="006718C0"/>
    <w:rsid w:val="00671A32"/>
    <w:rsid w:val="00671BC4"/>
    <w:rsid w:val="00671EA6"/>
    <w:rsid w:val="00671F3A"/>
    <w:rsid w:val="00671F81"/>
    <w:rsid w:val="0067200C"/>
    <w:rsid w:val="0067204B"/>
    <w:rsid w:val="006721CF"/>
    <w:rsid w:val="00672457"/>
    <w:rsid w:val="006724E7"/>
    <w:rsid w:val="006726C8"/>
    <w:rsid w:val="00672706"/>
    <w:rsid w:val="006728E3"/>
    <w:rsid w:val="0067296B"/>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E59"/>
    <w:rsid w:val="00673FAA"/>
    <w:rsid w:val="0067409A"/>
    <w:rsid w:val="00674607"/>
    <w:rsid w:val="00674700"/>
    <w:rsid w:val="00674760"/>
    <w:rsid w:val="0067481A"/>
    <w:rsid w:val="006749AA"/>
    <w:rsid w:val="00674D4D"/>
    <w:rsid w:val="00674EDD"/>
    <w:rsid w:val="00674F7A"/>
    <w:rsid w:val="00675018"/>
    <w:rsid w:val="0067510C"/>
    <w:rsid w:val="00675204"/>
    <w:rsid w:val="00675421"/>
    <w:rsid w:val="0067555B"/>
    <w:rsid w:val="006756CB"/>
    <w:rsid w:val="00675780"/>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5F0"/>
    <w:rsid w:val="006806EE"/>
    <w:rsid w:val="00680836"/>
    <w:rsid w:val="006809F0"/>
    <w:rsid w:val="00680A32"/>
    <w:rsid w:val="00680CE5"/>
    <w:rsid w:val="00680F3D"/>
    <w:rsid w:val="0068134C"/>
    <w:rsid w:val="006815AC"/>
    <w:rsid w:val="006816AA"/>
    <w:rsid w:val="006818D9"/>
    <w:rsid w:val="00681A7F"/>
    <w:rsid w:val="00681D98"/>
    <w:rsid w:val="00681F48"/>
    <w:rsid w:val="00682014"/>
    <w:rsid w:val="00682166"/>
    <w:rsid w:val="006821E7"/>
    <w:rsid w:val="00682257"/>
    <w:rsid w:val="0068225D"/>
    <w:rsid w:val="0068245E"/>
    <w:rsid w:val="006826AD"/>
    <w:rsid w:val="006828E4"/>
    <w:rsid w:val="00682B4D"/>
    <w:rsid w:val="00682C42"/>
    <w:rsid w:val="006834C6"/>
    <w:rsid w:val="00683680"/>
    <w:rsid w:val="0068377F"/>
    <w:rsid w:val="0068383F"/>
    <w:rsid w:val="00683ABC"/>
    <w:rsid w:val="00683B15"/>
    <w:rsid w:val="00683C7D"/>
    <w:rsid w:val="00683C91"/>
    <w:rsid w:val="00683E10"/>
    <w:rsid w:val="00683E15"/>
    <w:rsid w:val="00683E62"/>
    <w:rsid w:val="00683EFE"/>
    <w:rsid w:val="006840D1"/>
    <w:rsid w:val="00684319"/>
    <w:rsid w:val="006843DF"/>
    <w:rsid w:val="0068458B"/>
    <w:rsid w:val="00684750"/>
    <w:rsid w:val="00684CF0"/>
    <w:rsid w:val="00684DCE"/>
    <w:rsid w:val="006853AD"/>
    <w:rsid w:val="0068556D"/>
    <w:rsid w:val="00685643"/>
    <w:rsid w:val="00685690"/>
    <w:rsid w:val="00685B2D"/>
    <w:rsid w:val="00685E68"/>
    <w:rsid w:val="00685E78"/>
    <w:rsid w:val="00685F07"/>
    <w:rsid w:val="006862C5"/>
    <w:rsid w:val="006863C3"/>
    <w:rsid w:val="00686422"/>
    <w:rsid w:val="0068655C"/>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77F"/>
    <w:rsid w:val="00691861"/>
    <w:rsid w:val="00691D76"/>
    <w:rsid w:val="00691DFA"/>
    <w:rsid w:val="00691ECC"/>
    <w:rsid w:val="006920CC"/>
    <w:rsid w:val="006920F8"/>
    <w:rsid w:val="0069232B"/>
    <w:rsid w:val="0069267C"/>
    <w:rsid w:val="0069279D"/>
    <w:rsid w:val="00692CF5"/>
    <w:rsid w:val="00692E6B"/>
    <w:rsid w:val="006932E7"/>
    <w:rsid w:val="00693304"/>
    <w:rsid w:val="00693AA1"/>
    <w:rsid w:val="00693B92"/>
    <w:rsid w:val="00693C6D"/>
    <w:rsid w:val="00693C7B"/>
    <w:rsid w:val="00693DCF"/>
    <w:rsid w:val="00694405"/>
    <w:rsid w:val="0069444D"/>
    <w:rsid w:val="006947F0"/>
    <w:rsid w:val="00694A0D"/>
    <w:rsid w:val="00694B98"/>
    <w:rsid w:val="00694DD0"/>
    <w:rsid w:val="0069529C"/>
    <w:rsid w:val="00695767"/>
    <w:rsid w:val="0069576C"/>
    <w:rsid w:val="006957B2"/>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B18"/>
    <w:rsid w:val="00697C6B"/>
    <w:rsid w:val="00697E0D"/>
    <w:rsid w:val="00697E4F"/>
    <w:rsid w:val="00697E8E"/>
    <w:rsid w:val="006A0418"/>
    <w:rsid w:val="006A04C6"/>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34F"/>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3F33"/>
    <w:rsid w:val="006A4083"/>
    <w:rsid w:val="006A41D7"/>
    <w:rsid w:val="006A425B"/>
    <w:rsid w:val="006A44C9"/>
    <w:rsid w:val="006A46E0"/>
    <w:rsid w:val="006A4AC3"/>
    <w:rsid w:val="006A4B0A"/>
    <w:rsid w:val="006A4D56"/>
    <w:rsid w:val="006A4F71"/>
    <w:rsid w:val="006A4FA6"/>
    <w:rsid w:val="006A513B"/>
    <w:rsid w:val="006A5160"/>
    <w:rsid w:val="006A5951"/>
    <w:rsid w:val="006A5C29"/>
    <w:rsid w:val="006A5D0C"/>
    <w:rsid w:val="006A5EA2"/>
    <w:rsid w:val="006A6030"/>
    <w:rsid w:val="006A64F8"/>
    <w:rsid w:val="006A676A"/>
    <w:rsid w:val="006A6CA3"/>
    <w:rsid w:val="006A6FC3"/>
    <w:rsid w:val="006A7449"/>
    <w:rsid w:val="006A75E3"/>
    <w:rsid w:val="006A761B"/>
    <w:rsid w:val="006A79F6"/>
    <w:rsid w:val="006A7BA6"/>
    <w:rsid w:val="006A7C36"/>
    <w:rsid w:val="006A7D09"/>
    <w:rsid w:val="006A7EAA"/>
    <w:rsid w:val="006B01D3"/>
    <w:rsid w:val="006B02DE"/>
    <w:rsid w:val="006B036C"/>
    <w:rsid w:val="006B03A7"/>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0D"/>
    <w:rsid w:val="006B4653"/>
    <w:rsid w:val="006B4699"/>
    <w:rsid w:val="006B4A8E"/>
    <w:rsid w:val="006B4AFF"/>
    <w:rsid w:val="006B516F"/>
    <w:rsid w:val="006B5538"/>
    <w:rsid w:val="006B5BBF"/>
    <w:rsid w:val="006B5F7B"/>
    <w:rsid w:val="006B614F"/>
    <w:rsid w:val="006B62F8"/>
    <w:rsid w:val="006B63C1"/>
    <w:rsid w:val="006B64F8"/>
    <w:rsid w:val="006B6766"/>
    <w:rsid w:val="006B6841"/>
    <w:rsid w:val="006B694A"/>
    <w:rsid w:val="006B6BFF"/>
    <w:rsid w:val="006B714B"/>
    <w:rsid w:val="006B719F"/>
    <w:rsid w:val="006B7218"/>
    <w:rsid w:val="006B7260"/>
    <w:rsid w:val="006B73D5"/>
    <w:rsid w:val="006B7491"/>
    <w:rsid w:val="006B76D4"/>
    <w:rsid w:val="006B775B"/>
    <w:rsid w:val="006B7A90"/>
    <w:rsid w:val="006B7EA3"/>
    <w:rsid w:val="006B7EB8"/>
    <w:rsid w:val="006B7FBB"/>
    <w:rsid w:val="006C04FA"/>
    <w:rsid w:val="006C0531"/>
    <w:rsid w:val="006C0711"/>
    <w:rsid w:val="006C07F6"/>
    <w:rsid w:val="006C0A13"/>
    <w:rsid w:val="006C0AF3"/>
    <w:rsid w:val="006C0C5F"/>
    <w:rsid w:val="006C0DF4"/>
    <w:rsid w:val="006C10AC"/>
    <w:rsid w:val="006C14A7"/>
    <w:rsid w:val="006C1AF5"/>
    <w:rsid w:val="006C1C05"/>
    <w:rsid w:val="006C1CEE"/>
    <w:rsid w:val="006C1F4C"/>
    <w:rsid w:val="006C2260"/>
    <w:rsid w:val="006C2585"/>
    <w:rsid w:val="006C2610"/>
    <w:rsid w:val="006C283D"/>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B79"/>
    <w:rsid w:val="006C531F"/>
    <w:rsid w:val="006C53B7"/>
    <w:rsid w:val="006C545F"/>
    <w:rsid w:val="006C5808"/>
    <w:rsid w:val="006C583E"/>
    <w:rsid w:val="006C5A7E"/>
    <w:rsid w:val="006C65C5"/>
    <w:rsid w:val="006C6807"/>
    <w:rsid w:val="006C685F"/>
    <w:rsid w:val="006C6B4F"/>
    <w:rsid w:val="006C6DFD"/>
    <w:rsid w:val="006C71A9"/>
    <w:rsid w:val="006C71BD"/>
    <w:rsid w:val="006C72F8"/>
    <w:rsid w:val="006C7520"/>
    <w:rsid w:val="006C77E4"/>
    <w:rsid w:val="006C78E0"/>
    <w:rsid w:val="006C7A84"/>
    <w:rsid w:val="006C7D5C"/>
    <w:rsid w:val="006C7DCF"/>
    <w:rsid w:val="006C7F35"/>
    <w:rsid w:val="006C7F49"/>
    <w:rsid w:val="006D0855"/>
    <w:rsid w:val="006D0972"/>
    <w:rsid w:val="006D0DCC"/>
    <w:rsid w:val="006D111A"/>
    <w:rsid w:val="006D1186"/>
    <w:rsid w:val="006D1450"/>
    <w:rsid w:val="006D152F"/>
    <w:rsid w:val="006D1635"/>
    <w:rsid w:val="006D16EF"/>
    <w:rsid w:val="006D1C3C"/>
    <w:rsid w:val="006D1DA7"/>
    <w:rsid w:val="006D205A"/>
    <w:rsid w:val="006D2144"/>
    <w:rsid w:val="006D243A"/>
    <w:rsid w:val="006D255A"/>
    <w:rsid w:val="006D27E1"/>
    <w:rsid w:val="006D2A5B"/>
    <w:rsid w:val="006D2AE0"/>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15B"/>
    <w:rsid w:val="006D4212"/>
    <w:rsid w:val="006D43B2"/>
    <w:rsid w:val="006D4457"/>
    <w:rsid w:val="006D48EA"/>
    <w:rsid w:val="006D4918"/>
    <w:rsid w:val="006D4AAC"/>
    <w:rsid w:val="006D4B78"/>
    <w:rsid w:val="006D4D02"/>
    <w:rsid w:val="006D4E1F"/>
    <w:rsid w:val="006D4F9D"/>
    <w:rsid w:val="006D528E"/>
    <w:rsid w:val="006D53F1"/>
    <w:rsid w:val="006D5431"/>
    <w:rsid w:val="006D5702"/>
    <w:rsid w:val="006D5ECB"/>
    <w:rsid w:val="006D5F61"/>
    <w:rsid w:val="006D619A"/>
    <w:rsid w:val="006D6463"/>
    <w:rsid w:val="006D651C"/>
    <w:rsid w:val="006D6525"/>
    <w:rsid w:val="006D6632"/>
    <w:rsid w:val="006D6AD3"/>
    <w:rsid w:val="006D71B3"/>
    <w:rsid w:val="006D7536"/>
    <w:rsid w:val="006D7581"/>
    <w:rsid w:val="006D768D"/>
    <w:rsid w:val="006D77BC"/>
    <w:rsid w:val="006D790F"/>
    <w:rsid w:val="006D7A93"/>
    <w:rsid w:val="006D7BB2"/>
    <w:rsid w:val="006D7F44"/>
    <w:rsid w:val="006E015F"/>
    <w:rsid w:val="006E02CA"/>
    <w:rsid w:val="006E0444"/>
    <w:rsid w:val="006E051E"/>
    <w:rsid w:val="006E07D1"/>
    <w:rsid w:val="006E0851"/>
    <w:rsid w:val="006E09C6"/>
    <w:rsid w:val="006E0AE8"/>
    <w:rsid w:val="006E0D89"/>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7D3"/>
    <w:rsid w:val="006E288D"/>
    <w:rsid w:val="006E2950"/>
    <w:rsid w:val="006E2B13"/>
    <w:rsid w:val="006E2B83"/>
    <w:rsid w:val="006E3098"/>
    <w:rsid w:val="006E32A2"/>
    <w:rsid w:val="006E3447"/>
    <w:rsid w:val="006E344C"/>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1C0"/>
    <w:rsid w:val="006E64BB"/>
    <w:rsid w:val="006E672B"/>
    <w:rsid w:val="006E6857"/>
    <w:rsid w:val="006E68CE"/>
    <w:rsid w:val="006E6ADA"/>
    <w:rsid w:val="006E6E46"/>
    <w:rsid w:val="006E6F78"/>
    <w:rsid w:val="006E6FBA"/>
    <w:rsid w:val="006E6FD3"/>
    <w:rsid w:val="006E718B"/>
    <w:rsid w:val="006E71CB"/>
    <w:rsid w:val="006E7332"/>
    <w:rsid w:val="006E7496"/>
    <w:rsid w:val="006E789D"/>
    <w:rsid w:val="006E79F3"/>
    <w:rsid w:val="006E7A9B"/>
    <w:rsid w:val="006E7B7D"/>
    <w:rsid w:val="006F08FE"/>
    <w:rsid w:val="006F094C"/>
    <w:rsid w:val="006F0950"/>
    <w:rsid w:val="006F09A5"/>
    <w:rsid w:val="006F0B3A"/>
    <w:rsid w:val="006F104C"/>
    <w:rsid w:val="006F1548"/>
    <w:rsid w:val="006F1AFA"/>
    <w:rsid w:val="006F1C0F"/>
    <w:rsid w:val="006F1DD6"/>
    <w:rsid w:val="006F1E8B"/>
    <w:rsid w:val="006F2426"/>
    <w:rsid w:val="006F259C"/>
    <w:rsid w:val="006F25F7"/>
    <w:rsid w:val="006F2886"/>
    <w:rsid w:val="006F2A72"/>
    <w:rsid w:val="006F2D38"/>
    <w:rsid w:val="006F2D87"/>
    <w:rsid w:val="006F2E6D"/>
    <w:rsid w:val="006F2EE4"/>
    <w:rsid w:val="006F3147"/>
    <w:rsid w:val="006F31A0"/>
    <w:rsid w:val="006F382A"/>
    <w:rsid w:val="006F3862"/>
    <w:rsid w:val="006F38C7"/>
    <w:rsid w:val="006F396F"/>
    <w:rsid w:val="006F39E4"/>
    <w:rsid w:val="006F3A0F"/>
    <w:rsid w:val="006F3A77"/>
    <w:rsid w:val="006F3B92"/>
    <w:rsid w:val="006F3F1B"/>
    <w:rsid w:val="006F4903"/>
    <w:rsid w:val="006F4C6B"/>
    <w:rsid w:val="006F4CD5"/>
    <w:rsid w:val="006F4DE4"/>
    <w:rsid w:val="006F53AC"/>
    <w:rsid w:val="006F53F8"/>
    <w:rsid w:val="006F5B52"/>
    <w:rsid w:val="006F5C80"/>
    <w:rsid w:val="006F5CB1"/>
    <w:rsid w:val="006F5CBF"/>
    <w:rsid w:val="006F5ED0"/>
    <w:rsid w:val="006F61C7"/>
    <w:rsid w:val="006F6323"/>
    <w:rsid w:val="006F6458"/>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56A"/>
    <w:rsid w:val="00700621"/>
    <w:rsid w:val="007006A7"/>
    <w:rsid w:val="007009FC"/>
    <w:rsid w:val="00700A30"/>
    <w:rsid w:val="00700FEE"/>
    <w:rsid w:val="00701291"/>
    <w:rsid w:val="00701653"/>
    <w:rsid w:val="007016F2"/>
    <w:rsid w:val="00701C37"/>
    <w:rsid w:val="00702121"/>
    <w:rsid w:val="0070221E"/>
    <w:rsid w:val="00702338"/>
    <w:rsid w:val="00702434"/>
    <w:rsid w:val="00702488"/>
    <w:rsid w:val="00702690"/>
    <w:rsid w:val="00702715"/>
    <w:rsid w:val="0070277C"/>
    <w:rsid w:val="0070298E"/>
    <w:rsid w:val="00702AC0"/>
    <w:rsid w:val="00702B98"/>
    <w:rsid w:val="00702BD1"/>
    <w:rsid w:val="007030D1"/>
    <w:rsid w:val="00703353"/>
    <w:rsid w:val="00703891"/>
    <w:rsid w:val="00703C0D"/>
    <w:rsid w:val="00703C5E"/>
    <w:rsid w:val="00703E8B"/>
    <w:rsid w:val="00704124"/>
    <w:rsid w:val="0070431F"/>
    <w:rsid w:val="0070455C"/>
    <w:rsid w:val="0070470A"/>
    <w:rsid w:val="0070473C"/>
    <w:rsid w:val="00704F80"/>
    <w:rsid w:val="00705004"/>
    <w:rsid w:val="00705385"/>
    <w:rsid w:val="007057E9"/>
    <w:rsid w:val="00705958"/>
    <w:rsid w:val="00705AAC"/>
    <w:rsid w:val="00705C55"/>
    <w:rsid w:val="00706500"/>
    <w:rsid w:val="00706B89"/>
    <w:rsid w:val="0070725F"/>
    <w:rsid w:val="00707456"/>
    <w:rsid w:val="007077F3"/>
    <w:rsid w:val="00707A03"/>
    <w:rsid w:val="00707A0C"/>
    <w:rsid w:val="00707BDE"/>
    <w:rsid w:val="00710143"/>
    <w:rsid w:val="00710173"/>
    <w:rsid w:val="0071019A"/>
    <w:rsid w:val="007101A4"/>
    <w:rsid w:val="007102F7"/>
    <w:rsid w:val="007104DA"/>
    <w:rsid w:val="0071063E"/>
    <w:rsid w:val="00710945"/>
    <w:rsid w:val="00710AB1"/>
    <w:rsid w:val="00710B0D"/>
    <w:rsid w:val="00710BDA"/>
    <w:rsid w:val="00710F61"/>
    <w:rsid w:val="00710F75"/>
    <w:rsid w:val="00710FCA"/>
    <w:rsid w:val="00711048"/>
    <w:rsid w:val="007110CA"/>
    <w:rsid w:val="00711108"/>
    <w:rsid w:val="007115D2"/>
    <w:rsid w:val="007116F8"/>
    <w:rsid w:val="007117DC"/>
    <w:rsid w:val="00711ADC"/>
    <w:rsid w:val="00711BB5"/>
    <w:rsid w:val="00711DED"/>
    <w:rsid w:val="00711DF6"/>
    <w:rsid w:val="00711FDF"/>
    <w:rsid w:val="00712271"/>
    <w:rsid w:val="00712352"/>
    <w:rsid w:val="00712379"/>
    <w:rsid w:val="00712419"/>
    <w:rsid w:val="00712630"/>
    <w:rsid w:val="00712887"/>
    <w:rsid w:val="00712BB2"/>
    <w:rsid w:val="00712E03"/>
    <w:rsid w:val="007131FE"/>
    <w:rsid w:val="007132DA"/>
    <w:rsid w:val="00713410"/>
    <w:rsid w:val="007135C2"/>
    <w:rsid w:val="00713B2F"/>
    <w:rsid w:val="00713E03"/>
    <w:rsid w:val="007140F6"/>
    <w:rsid w:val="007141F1"/>
    <w:rsid w:val="00714425"/>
    <w:rsid w:val="00714540"/>
    <w:rsid w:val="007145BB"/>
    <w:rsid w:val="0071468F"/>
    <w:rsid w:val="00714818"/>
    <w:rsid w:val="00714ADF"/>
    <w:rsid w:val="00714AE6"/>
    <w:rsid w:val="00714B85"/>
    <w:rsid w:val="00714D21"/>
    <w:rsid w:val="00714EEA"/>
    <w:rsid w:val="00714FDB"/>
    <w:rsid w:val="007150BA"/>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D68"/>
    <w:rsid w:val="00720E78"/>
    <w:rsid w:val="007213B1"/>
    <w:rsid w:val="0072149C"/>
    <w:rsid w:val="007216C6"/>
    <w:rsid w:val="0072171F"/>
    <w:rsid w:val="00721730"/>
    <w:rsid w:val="0072182E"/>
    <w:rsid w:val="00721BD8"/>
    <w:rsid w:val="00722493"/>
    <w:rsid w:val="007224F4"/>
    <w:rsid w:val="0072257B"/>
    <w:rsid w:val="00722737"/>
    <w:rsid w:val="007227F3"/>
    <w:rsid w:val="0072290B"/>
    <w:rsid w:val="00722E44"/>
    <w:rsid w:val="00722E9C"/>
    <w:rsid w:val="00722F63"/>
    <w:rsid w:val="0072320F"/>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A55"/>
    <w:rsid w:val="00726C84"/>
    <w:rsid w:val="00726D3A"/>
    <w:rsid w:val="00726E20"/>
    <w:rsid w:val="007273DD"/>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4CD"/>
    <w:rsid w:val="00733502"/>
    <w:rsid w:val="0073368D"/>
    <w:rsid w:val="00733813"/>
    <w:rsid w:val="00733A5A"/>
    <w:rsid w:val="00733B16"/>
    <w:rsid w:val="00733EBA"/>
    <w:rsid w:val="007340B2"/>
    <w:rsid w:val="00734209"/>
    <w:rsid w:val="007342B0"/>
    <w:rsid w:val="007342C7"/>
    <w:rsid w:val="007344A4"/>
    <w:rsid w:val="00734818"/>
    <w:rsid w:val="00734A01"/>
    <w:rsid w:val="00734C65"/>
    <w:rsid w:val="00734D48"/>
    <w:rsid w:val="00734E9B"/>
    <w:rsid w:val="007350EC"/>
    <w:rsid w:val="00735316"/>
    <w:rsid w:val="007353A9"/>
    <w:rsid w:val="007354F1"/>
    <w:rsid w:val="00735535"/>
    <w:rsid w:val="0073589B"/>
    <w:rsid w:val="00735992"/>
    <w:rsid w:val="00735A9A"/>
    <w:rsid w:val="00735D67"/>
    <w:rsid w:val="00735E40"/>
    <w:rsid w:val="00736346"/>
    <w:rsid w:val="007365F3"/>
    <w:rsid w:val="0073677B"/>
    <w:rsid w:val="0073688F"/>
    <w:rsid w:val="00736BAA"/>
    <w:rsid w:val="00736D35"/>
    <w:rsid w:val="00736DA6"/>
    <w:rsid w:val="00736E9E"/>
    <w:rsid w:val="00736F90"/>
    <w:rsid w:val="00737151"/>
    <w:rsid w:val="007373D0"/>
    <w:rsid w:val="00737449"/>
    <w:rsid w:val="007374BC"/>
    <w:rsid w:val="007374DB"/>
    <w:rsid w:val="00737822"/>
    <w:rsid w:val="0073796C"/>
    <w:rsid w:val="00737A75"/>
    <w:rsid w:val="00737AF0"/>
    <w:rsid w:val="00737CC6"/>
    <w:rsid w:val="00737E65"/>
    <w:rsid w:val="00737F96"/>
    <w:rsid w:val="00740033"/>
    <w:rsid w:val="0074029B"/>
    <w:rsid w:val="007402E8"/>
    <w:rsid w:val="0074035B"/>
    <w:rsid w:val="00740C35"/>
    <w:rsid w:val="00740CBB"/>
    <w:rsid w:val="0074107C"/>
    <w:rsid w:val="00741559"/>
    <w:rsid w:val="007418E1"/>
    <w:rsid w:val="00741A23"/>
    <w:rsid w:val="00742085"/>
    <w:rsid w:val="00742982"/>
    <w:rsid w:val="00742A27"/>
    <w:rsid w:val="00742AF5"/>
    <w:rsid w:val="00742F71"/>
    <w:rsid w:val="007431E3"/>
    <w:rsid w:val="0074332F"/>
    <w:rsid w:val="00743663"/>
    <w:rsid w:val="00743CA9"/>
    <w:rsid w:val="0074401A"/>
    <w:rsid w:val="0074408C"/>
    <w:rsid w:val="00744546"/>
    <w:rsid w:val="00744551"/>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2CE"/>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0EEB"/>
    <w:rsid w:val="007514C0"/>
    <w:rsid w:val="007514E7"/>
    <w:rsid w:val="007516E3"/>
    <w:rsid w:val="0075176C"/>
    <w:rsid w:val="0075180C"/>
    <w:rsid w:val="0075193F"/>
    <w:rsid w:val="00751A8A"/>
    <w:rsid w:val="00751F43"/>
    <w:rsid w:val="00751FF6"/>
    <w:rsid w:val="00752159"/>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DE7"/>
    <w:rsid w:val="00754F90"/>
    <w:rsid w:val="007550D5"/>
    <w:rsid w:val="00755164"/>
    <w:rsid w:val="007553C0"/>
    <w:rsid w:val="00755624"/>
    <w:rsid w:val="007559C5"/>
    <w:rsid w:val="00755C01"/>
    <w:rsid w:val="00755C96"/>
    <w:rsid w:val="00755CA5"/>
    <w:rsid w:val="00755DBF"/>
    <w:rsid w:val="007560F3"/>
    <w:rsid w:val="007561AB"/>
    <w:rsid w:val="007561F4"/>
    <w:rsid w:val="00756270"/>
    <w:rsid w:val="007564E1"/>
    <w:rsid w:val="0075669B"/>
    <w:rsid w:val="00756900"/>
    <w:rsid w:val="00756D77"/>
    <w:rsid w:val="00756F8A"/>
    <w:rsid w:val="00757019"/>
    <w:rsid w:val="007571AF"/>
    <w:rsid w:val="00757200"/>
    <w:rsid w:val="0075730F"/>
    <w:rsid w:val="007574CE"/>
    <w:rsid w:val="007574D5"/>
    <w:rsid w:val="00757783"/>
    <w:rsid w:val="007578A6"/>
    <w:rsid w:val="00757902"/>
    <w:rsid w:val="00757BCF"/>
    <w:rsid w:val="00757C27"/>
    <w:rsid w:val="00757E6F"/>
    <w:rsid w:val="00757E80"/>
    <w:rsid w:val="00760309"/>
    <w:rsid w:val="00760465"/>
    <w:rsid w:val="0076049C"/>
    <w:rsid w:val="00760F11"/>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87"/>
    <w:rsid w:val="00762DF1"/>
    <w:rsid w:val="00762DF2"/>
    <w:rsid w:val="00762E9F"/>
    <w:rsid w:val="00762F95"/>
    <w:rsid w:val="00763014"/>
    <w:rsid w:val="00763028"/>
    <w:rsid w:val="007633FC"/>
    <w:rsid w:val="00763643"/>
    <w:rsid w:val="0076369E"/>
    <w:rsid w:val="0076381F"/>
    <w:rsid w:val="00763A3C"/>
    <w:rsid w:val="00763E6E"/>
    <w:rsid w:val="00764053"/>
    <w:rsid w:val="0076422C"/>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C52"/>
    <w:rsid w:val="00767D54"/>
    <w:rsid w:val="00767D8E"/>
    <w:rsid w:val="00767E9D"/>
    <w:rsid w:val="00770205"/>
    <w:rsid w:val="00770221"/>
    <w:rsid w:val="00770400"/>
    <w:rsid w:val="00770634"/>
    <w:rsid w:val="00770A60"/>
    <w:rsid w:val="00770D3E"/>
    <w:rsid w:val="00770EB8"/>
    <w:rsid w:val="007710CB"/>
    <w:rsid w:val="0077129F"/>
    <w:rsid w:val="007713AC"/>
    <w:rsid w:val="007713D4"/>
    <w:rsid w:val="00771470"/>
    <w:rsid w:val="00771652"/>
    <w:rsid w:val="0077173D"/>
    <w:rsid w:val="00771760"/>
    <w:rsid w:val="007717E6"/>
    <w:rsid w:val="0077186B"/>
    <w:rsid w:val="00771882"/>
    <w:rsid w:val="007718DF"/>
    <w:rsid w:val="00771D11"/>
    <w:rsid w:val="00771D49"/>
    <w:rsid w:val="00772240"/>
    <w:rsid w:val="00772860"/>
    <w:rsid w:val="00772AFB"/>
    <w:rsid w:val="00772BDC"/>
    <w:rsid w:val="00772F2E"/>
    <w:rsid w:val="007730F8"/>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9B5"/>
    <w:rsid w:val="00774AFB"/>
    <w:rsid w:val="00774C59"/>
    <w:rsid w:val="00774D1F"/>
    <w:rsid w:val="00774FB2"/>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550"/>
    <w:rsid w:val="007777AC"/>
    <w:rsid w:val="00777892"/>
    <w:rsid w:val="00777AF2"/>
    <w:rsid w:val="00777CF7"/>
    <w:rsid w:val="00777E73"/>
    <w:rsid w:val="00777E91"/>
    <w:rsid w:val="00777F1B"/>
    <w:rsid w:val="00780487"/>
    <w:rsid w:val="007804FE"/>
    <w:rsid w:val="0078054C"/>
    <w:rsid w:val="00780889"/>
    <w:rsid w:val="00780B22"/>
    <w:rsid w:val="00780B4B"/>
    <w:rsid w:val="00780BDF"/>
    <w:rsid w:val="00780CBE"/>
    <w:rsid w:val="00780CF8"/>
    <w:rsid w:val="00781654"/>
    <w:rsid w:val="007818E3"/>
    <w:rsid w:val="00781920"/>
    <w:rsid w:val="00781C7B"/>
    <w:rsid w:val="00781F8F"/>
    <w:rsid w:val="00782135"/>
    <w:rsid w:val="00782574"/>
    <w:rsid w:val="007825B3"/>
    <w:rsid w:val="00782623"/>
    <w:rsid w:val="007826C7"/>
    <w:rsid w:val="0078282F"/>
    <w:rsid w:val="0078291B"/>
    <w:rsid w:val="00782A27"/>
    <w:rsid w:val="00782AAC"/>
    <w:rsid w:val="00782D4F"/>
    <w:rsid w:val="007831DE"/>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7AD"/>
    <w:rsid w:val="00786A38"/>
    <w:rsid w:val="00786BE4"/>
    <w:rsid w:val="00786DB4"/>
    <w:rsid w:val="00786EBF"/>
    <w:rsid w:val="00786FEF"/>
    <w:rsid w:val="00787346"/>
    <w:rsid w:val="00787396"/>
    <w:rsid w:val="0078760B"/>
    <w:rsid w:val="0078771C"/>
    <w:rsid w:val="007878B9"/>
    <w:rsid w:val="0078791C"/>
    <w:rsid w:val="00787972"/>
    <w:rsid w:val="00787BD5"/>
    <w:rsid w:val="00787C57"/>
    <w:rsid w:val="00787EC0"/>
    <w:rsid w:val="00787F40"/>
    <w:rsid w:val="00787F99"/>
    <w:rsid w:val="00787FEA"/>
    <w:rsid w:val="00790048"/>
    <w:rsid w:val="00790348"/>
    <w:rsid w:val="007904F4"/>
    <w:rsid w:val="00790517"/>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9C7"/>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C7F"/>
    <w:rsid w:val="00797DD7"/>
    <w:rsid w:val="00797E30"/>
    <w:rsid w:val="00797FC7"/>
    <w:rsid w:val="007A0303"/>
    <w:rsid w:val="007A0337"/>
    <w:rsid w:val="007A037D"/>
    <w:rsid w:val="007A03AB"/>
    <w:rsid w:val="007A05CF"/>
    <w:rsid w:val="007A0664"/>
    <w:rsid w:val="007A09FE"/>
    <w:rsid w:val="007A0E05"/>
    <w:rsid w:val="007A0F76"/>
    <w:rsid w:val="007A111A"/>
    <w:rsid w:val="007A15A9"/>
    <w:rsid w:val="007A169F"/>
    <w:rsid w:val="007A1821"/>
    <w:rsid w:val="007A183D"/>
    <w:rsid w:val="007A1A14"/>
    <w:rsid w:val="007A1A25"/>
    <w:rsid w:val="007A1B06"/>
    <w:rsid w:val="007A1FFA"/>
    <w:rsid w:val="007A205D"/>
    <w:rsid w:val="007A2713"/>
    <w:rsid w:val="007A295A"/>
    <w:rsid w:val="007A2B55"/>
    <w:rsid w:val="007A2B73"/>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4F76"/>
    <w:rsid w:val="007A5140"/>
    <w:rsid w:val="007A54BC"/>
    <w:rsid w:val="007A560D"/>
    <w:rsid w:val="007A57E1"/>
    <w:rsid w:val="007A5AF9"/>
    <w:rsid w:val="007A5BB4"/>
    <w:rsid w:val="007A5F0E"/>
    <w:rsid w:val="007A5F6F"/>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20CE"/>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7E6"/>
    <w:rsid w:val="007B48A2"/>
    <w:rsid w:val="007B4AD4"/>
    <w:rsid w:val="007B4BEC"/>
    <w:rsid w:val="007B4BF3"/>
    <w:rsid w:val="007B4C7C"/>
    <w:rsid w:val="007B4CBA"/>
    <w:rsid w:val="007B4D9C"/>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0E5F"/>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2E23"/>
    <w:rsid w:val="007C2F6B"/>
    <w:rsid w:val="007C3574"/>
    <w:rsid w:val="007C3AB7"/>
    <w:rsid w:val="007C40B4"/>
    <w:rsid w:val="007C43F6"/>
    <w:rsid w:val="007C4C04"/>
    <w:rsid w:val="007C4C20"/>
    <w:rsid w:val="007C4C6F"/>
    <w:rsid w:val="007C4E21"/>
    <w:rsid w:val="007C4E68"/>
    <w:rsid w:val="007C4F63"/>
    <w:rsid w:val="007C4FE0"/>
    <w:rsid w:val="007C510A"/>
    <w:rsid w:val="007C521A"/>
    <w:rsid w:val="007C52C5"/>
    <w:rsid w:val="007C52D0"/>
    <w:rsid w:val="007C534B"/>
    <w:rsid w:val="007C53CE"/>
    <w:rsid w:val="007C54AE"/>
    <w:rsid w:val="007C5663"/>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BCC"/>
    <w:rsid w:val="007D0D19"/>
    <w:rsid w:val="007D0E6C"/>
    <w:rsid w:val="007D0EE7"/>
    <w:rsid w:val="007D1096"/>
    <w:rsid w:val="007D1172"/>
    <w:rsid w:val="007D11FD"/>
    <w:rsid w:val="007D13C2"/>
    <w:rsid w:val="007D1406"/>
    <w:rsid w:val="007D1507"/>
    <w:rsid w:val="007D15C2"/>
    <w:rsid w:val="007D17E3"/>
    <w:rsid w:val="007D1959"/>
    <w:rsid w:val="007D199C"/>
    <w:rsid w:val="007D1A0A"/>
    <w:rsid w:val="007D1BF4"/>
    <w:rsid w:val="007D1C0F"/>
    <w:rsid w:val="007D1CB8"/>
    <w:rsid w:val="007D1D24"/>
    <w:rsid w:val="007D1DC3"/>
    <w:rsid w:val="007D1EDA"/>
    <w:rsid w:val="007D1F56"/>
    <w:rsid w:val="007D200F"/>
    <w:rsid w:val="007D239C"/>
    <w:rsid w:val="007D2861"/>
    <w:rsid w:val="007D3199"/>
    <w:rsid w:val="007D3391"/>
    <w:rsid w:val="007D372F"/>
    <w:rsid w:val="007D3920"/>
    <w:rsid w:val="007D3AC1"/>
    <w:rsid w:val="007D424B"/>
    <w:rsid w:val="007D42A6"/>
    <w:rsid w:val="007D43B4"/>
    <w:rsid w:val="007D4514"/>
    <w:rsid w:val="007D4755"/>
    <w:rsid w:val="007D479C"/>
    <w:rsid w:val="007D49CA"/>
    <w:rsid w:val="007D4B54"/>
    <w:rsid w:val="007D4C5E"/>
    <w:rsid w:val="007D4D47"/>
    <w:rsid w:val="007D4FE1"/>
    <w:rsid w:val="007D50AC"/>
    <w:rsid w:val="007D5463"/>
    <w:rsid w:val="007D54E8"/>
    <w:rsid w:val="007D5594"/>
    <w:rsid w:val="007D55C5"/>
    <w:rsid w:val="007D566A"/>
    <w:rsid w:val="007D588E"/>
    <w:rsid w:val="007D5C17"/>
    <w:rsid w:val="007D5EC1"/>
    <w:rsid w:val="007D632A"/>
    <w:rsid w:val="007D636B"/>
    <w:rsid w:val="007D6551"/>
    <w:rsid w:val="007D682D"/>
    <w:rsid w:val="007D6A31"/>
    <w:rsid w:val="007D6A33"/>
    <w:rsid w:val="007D6B45"/>
    <w:rsid w:val="007D6F03"/>
    <w:rsid w:val="007D757A"/>
    <w:rsid w:val="007D7615"/>
    <w:rsid w:val="007D7778"/>
    <w:rsid w:val="007D7A4D"/>
    <w:rsid w:val="007D7B7C"/>
    <w:rsid w:val="007D7E03"/>
    <w:rsid w:val="007E0045"/>
    <w:rsid w:val="007E0082"/>
    <w:rsid w:val="007E02D5"/>
    <w:rsid w:val="007E03D6"/>
    <w:rsid w:val="007E0D09"/>
    <w:rsid w:val="007E0DEB"/>
    <w:rsid w:val="007E0F25"/>
    <w:rsid w:val="007E0F88"/>
    <w:rsid w:val="007E119E"/>
    <w:rsid w:val="007E123C"/>
    <w:rsid w:val="007E150C"/>
    <w:rsid w:val="007E1ABE"/>
    <w:rsid w:val="007E1C32"/>
    <w:rsid w:val="007E1FC4"/>
    <w:rsid w:val="007E23F8"/>
    <w:rsid w:val="007E240B"/>
    <w:rsid w:val="007E24C9"/>
    <w:rsid w:val="007E2772"/>
    <w:rsid w:val="007E28F6"/>
    <w:rsid w:val="007E2C20"/>
    <w:rsid w:val="007E31DC"/>
    <w:rsid w:val="007E38F9"/>
    <w:rsid w:val="007E3AF4"/>
    <w:rsid w:val="007E3FB4"/>
    <w:rsid w:val="007E451C"/>
    <w:rsid w:val="007E4555"/>
    <w:rsid w:val="007E4AC7"/>
    <w:rsid w:val="007E4B34"/>
    <w:rsid w:val="007E4DA4"/>
    <w:rsid w:val="007E4DF0"/>
    <w:rsid w:val="007E5079"/>
    <w:rsid w:val="007E517F"/>
    <w:rsid w:val="007E5214"/>
    <w:rsid w:val="007E524E"/>
    <w:rsid w:val="007E5556"/>
    <w:rsid w:val="007E562E"/>
    <w:rsid w:val="007E57CA"/>
    <w:rsid w:val="007E5A4C"/>
    <w:rsid w:val="007E5D0A"/>
    <w:rsid w:val="007E5D2D"/>
    <w:rsid w:val="007E5E18"/>
    <w:rsid w:val="007E6015"/>
    <w:rsid w:val="007E60CD"/>
    <w:rsid w:val="007E60D2"/>
    <w:rsid w:val="007E6128"/>
    <w:rsid w:val="007E63FF"/>
    <w:rsid w:val="007E6474"/>
    <w:rsid w:val="007E668D"/>
    <w:rsid w:val="007E685A"/>
    <w:rsid w:val="007E6888"/>
    <w:rsid w:val="007E696C"/>
    <w:rsid w:val="007E7384"/>
    <w:rsid w:val="007E7871"/>
    <w:rsid w:val="007E7D6A"/>
    <w:rsid w:val="007E7E65"/>
    <w:rsid w:val="007E7FE9"/>
    <w:rsid w:val="007F068D"/>
    <w:rsid w:val="007F079F"/>
    <w:rsid w:val="007F0BBE"/>
    <w:rsid w:val="007F0C56"/>
    <w:rsid w:val="007F0DEE"/>
    <w:rsid w:val="007F1150"/>
    <w:rsid w:val="007F1190"/>
    <w:rsid w:val="007F142B"/>
    <w:rsid w:val="007F14C7"/>
    <w:rsid w:val="007F1816"/>
    <w:rsid w:val="007F25A2"/>
    <w:rsid w:val="007F2637"/>
    <w:rsid w:val="007F283F"/>
    <w:rsid w:val="007F2AF7"/>
    <w:rsid w:val="007F3477"/>
    <w:rsid w:val="007F3549"/>
    <w:rsid w:val="007F367D"/>
    <w:rsid w:val="007F3DD4"/>
    <w:rsid w:val="007F3F32"/>
    <w:rsid w:val="007F4095"/>
    <w:rsid w:val="007F41D1"/>
    <w:rsid w:val="007F423F"/>
    <w:rsid w:val="007F4293"/>
    <w:rsid w:val="007F4294"/>
    <w:rsid w:val="007F43B3"/>
    <w:rsid w:val="007F48E7"/>
    <w:rsid w:val="007F4AC5"/>
    <w:rsid w:val="007F4AF1"/>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7F7E35"/>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4B9"/>
    <w:rsid w:val="00802A04"/>
    <w:rsid w:val="00802A69"/>
    <w:rsid w:val="00802BBA"/>
    <w:rsid w:val="00802DAE"/>
    <w:rsid w:val="00802E50"/>
    <w:rsid w:val="00802FAF"/>
    <w:rsid w:val="00802FDA"/>
    <w:rsid w:val="00803241"/>
    <w:rsid w:val="008034DA"/>
    <w:rsid w:val="00803819"/>
    <w:rsid w:val="00803EA0"/>
    <w:rsid w:val="00803FE6"/>
    <w:rsid w:val="00803FF2"/>
    <w:rsid w:val="00804CE3"/>
    <w:rsid w:val="0080509C"/>
    <w:rsid w:val="008051EF"/>
    <w:rsid w:val="008053A8"/>
    <w:rsid w:val="0080552E"/>
    <w:rsid w:val="008056E0"/>
    <w:rsid w:val="008058A1"/>
    <w:rsid w:val="00805A2B"/>
    <w:rsid w:val="00805B76"/>
    <w:rsid w:val="00805DF0"/>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92"/>
    <w:rsid w:val="008109ED"/>
    <w:rsid w:val="00810DA4"/>
    <w:rsid w:val="00810FA3"/>
    <w:rsid w:val="0081173A"/>
    <w:rsid w:val="00811C1C"/>
    <w:rsid w:val="00811F8F"/>
    <w:rsid w:val="008122B0"/>
    <w:rsid w:val="008123CF"/>
    <w:rsid w:val="00812814"/>
    <w:rsid w:val="008128E3"/>
    <w:rsid w:val="00812931"/>
    <w:rsid w:val="00812AF8"/>
    <w:rsid w:val="0081314C"/>
    <w:rsid w:val="00813793"/>
    <w:rsid w:val="0081384A"/>
    <w:rsid w:val="008138F8"/>
    <w:rsid w:val="00813D86"/>
    <w:rsid w:val="00813E66"/>
    <w:rsid w:val="00813EBD"/>
    <w:rsid w:val="008143FD"/>
    <w:rsid w:val="00814955"/>
    <w:rsid w:val="00814A2F"/>
    <w:rsid w:val="00814BEC"/>
    <w:rsid w:val="00814C24"/>
    <w:rsid w:val="00814CC0"/>
    <w:rsid w:val="00814F24"/>
    <w:rsid w:val="008153C6"/>
    <w:rsid w:val="008154E3"/>
    <w:rsid w:val="0081554E"/>
    <w:rsid w:val="00815734"/>
    <w:rsid w:val="00815E46"/>
    <w:rsid w:val="0081611C"/>
    <w:rsid w:val="008161D7"/>
    <w:rsid w:val="008163B6"/>
    <w:rsid w:val="00816569"/>
    <w:rsid w:val="0081664E"/>
    <w:rsid w:val="008166F8"/>
    <w:rsid w:val="00816793"/>
    <w:rsid w:val="008168F3"/>
    <w:rsid w:val="00817130"/>
    <w:rsid w:val="00817394"/>
    <w:rsid w:val="0081739E"/>
    <w:rsid w:val="00817658"/>
    <w:rsid w:val="0081778A"/>
    <w:rsid w:val="008178E4"/>
    <w:rsid w:val="00817911"/>
    <w:rsid w:val="00817A00"/>
    <w:rsid w:val="00817BE4"/>
    <w:rsid w:val="00817C08"/>
    <w:rsid w:val="00817D5D"/>
    <w:rsid w:val="00817DAA"/>
    <w:rsid w:val="00817EF6"/>
    <w:rsid w:val="00817FA0"/>
    <w:rsid w:val="0082024F"/>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1E2F"/>
    <w:rsid w:val="008221AF"/>
    <w:rsid w:val="00822364"/>
    <w:rsid w:val="008229AB"/>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AF"/>
    <w:rsid w:val="008328F0"/>
    <w:rsid w:val="0083298D"/>
    <w:rsid w:val="00832BB1"/>
    <w:rsid w:val="00832C1B"/>
    <w:rsid w:val="00833161"/>
    <w:rsid w:val="0083317B"/>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0F9"/>
    <w:rsid w:val="008401CC"/>
    <w:rsid w:val="0084059E"/>
    <w:rsid w:val="00840687"/>
    <w:rsid w:val="0084082F"/>
    <w:rsid w:val="00840845"/>
    <w:rsid w:val="0084099E"/>
    <w:rsid w:val="00840A48"/>
    <w:rsid w:val="00840B60"/>
    <w:rsid w:val="00840E61"/>
    <w:rsid w:val="0084102F"/>
    <w:rsid w:val="008410E8"/>
    <w:rsid w:val="008411F2"/>
    <w:rsid w:val="008414FC"/>
    <w:rsid w:val="00841639"/>
    <w:rsid w:val="00841644"/>
    <w:rsid w:val="00841842"/>
    <w:rsid w:val="00841ADA"/>
    <w:rsid w:val="00841D2A"/>
    <w:rsid w:val="00841DD6"/>
    <w:rsid w:val="00841F08"/>
    <w:rsid w:val="00841F32"/>
    <w:rsid w:val="00842665"/>
    <w:rsid w:val="00842764"/>
    <w:rsid w:val="00842812"/>
    <w:rsid w:val="0084293D"/>
    <w:rsid w:val="00842B0D"/>
    <w:rsid w:val="00842FD5"/>
    <w:rsid w:val="008431D6"/>
    <w:rsid w:val="00843826"/>
    <w:rsid w:val="00843BAD"/>
    <w:rsid w:val="00843F2C"/>
    <w:rsid w:val="008440FD"/>
    <w:rsid w:val="00844186"/>
    <w:rsid w:val="00844232"/>
    <w:rsid w:val="00844546"/>
    <w:rsid w:val="008445A1"/>
    <w:rsid w:val="00844672"/>
    <w:rsid w:val="008446E0"/>
    <w:rsid w:val="00845118"/>
    <w:rsid w:val="00845167"/>
    <w:rsid w:val="0084529E"/>
    <w:rsid w:val="008452D2"/>
    <w:rsid w:val="008453DD"/>
    <w:rsid w:val="008454F7"/>
    <w:rsid w:val="0084569C"/>
    <w:rsid w:val="00845A3D"/>
    <w:rsid w:val="00845AEA"/>
    <w:rsid w:val="00845F01"/>
    <w:rsid w:val="008461B6"/>
    <w:rsid w:val="00846315"/>
    <w:rsid w:val="00846322"/>
    <w:rsid w:val="008463D0"/>
    <w:rsid w:val="008465D4"/>
    <w:rsid w:val="00846DBD"/>
    <w:rsid w:val="00846ED9"/>
    <w:rsid w:val="008470D7"/>
    <w:rsid w:val="0084714B"/>
    <w:rsid w:val="00847201"/>
    <w:rsid w:val="00847225"/>
    <w:rsid w:val="008479B1"/>
    <w:rsid w:val="00847B08"/>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5C3"/>
    <w:rsid w:val="0085268F"/>
    <w:rsid w:val="00852751"/>
    <w:rsid w:val="00852758"/>
    <w:rsid w:val="00852AFC"/>
    <w:rsid w:val="00852BA3"/>
    <w:rsid w:val="00852D8D"/>
    <w:rsid w:val="00852F67"/>
    <w:rsid w:val="00852F7A"/>
    <w:rsid w:val="00852F85"/>
    <w:rsid w:val="00852FC4"/>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B4C"/>
    <w:rsid w:val="00854CBF"/>
    <w:rsid w:val="00854D46"/>
    <w:rsid w:val="00854E3E"/>
    <w:rsid w:val="00854E52"/>
    <w:rsid w:val="008553AC"/>
    <w:rsid w:val="0085551C"/>
    <w:rsid w:val="008556A7"/>
    <w:rsid w:val="00855885"/>
    <w:rsid w:val="00855B54"/>
    <w:rsid w:val="00855BD1"/>
    <w:rsid w:val="00855DC1"/>
    <w:rsid w:val="0085629F"/>
    <w:rsid w:val="00856386"/>
    <w:rsid w:val="00856472"/>
    <w:rsid w:val="00856523"/>
    <w:rsid w:val="008566A3"/>
    <w:rsid w:val="0085678F"/>
    <w:rsid w:val="0085697D"/>
    <w:rsid w:val="00856A9D"/>
    <w:rsid w:val="00856F29"/>
    <w:rsid w:val="008570B1"/>
    <w:rsid w:val="00857450"/>
    <w:rsid w:val="008574B5"/>
    <w:rsid w:val="00857516"/>
    <w:rsid w:val="0085763F"/>
    <w:rsid w:val="00857966"/>
    <w:rsid w:val="00857A40"/>
    <w:rsid w:val="00857C94"/>
    <w:rsid w:val="00857D02"/>
    <w:rsid w:val="00857DE9"/>
    <w:rsid w:val="00857FC4"/>
    <w:rsid w:val="00860073"/>
    <w:rsid w:val="0086010A"/>
    <w:rsid w:val="00860368"/>
    <w:rsid w:val="00860707"/>
    <w:rsid w:val="008607C8"/>
    <w:rsid w:val="00860BC1"/>
    <w:rsid w:val="00860C69"/>
    <w:rsid w:val="00860CB7"/>
    <w:rsid w:val="00860FD1"/>
    <w:rsid w:val="0086122A"/>
    <w:rsid w:val="00861708"/>
    <w:rsid w:val="008617B8"/>
    <w:rsid w:val="00861805"/>
    <w:rsid w:val="00861A4A"/>
    <w:rsid w:val="00861C91"/>
    <w:rsid w:val="0086228C"/>
    <w:rsid w:val="0086257C"/>
    <w:rsid w:val="00862815"/>
    <w:rsid w:val="0086281A"/>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EDF"/>
    <w:rsid w:val="00864F98"/>
    <w:rsid w:val="008650AF"/>
    <w:rsid w:val="008655D3"/>
    <w:rsid w:val="0086595D"/>
    <w:rsid w:val="00865B37"/>
    <w:rsid w:val="008667A4"/>
    <w:rsid w:val="008667AB"/>
    <w:rsid w:val="008667DD"/>
    <w:rsid w:val="00866999"/>
    <w:rsid w:val="008669B0"/>
    <w:rsid w:val="00866A14"/>
    <w:rsid w:val="00866B35"/>
    <w:rsid w:val="00866EA5"/>
    <w:rsid w:val="008670DB"/>
    <w:rsid w:val="008672B4"/>
    <w:rsid w:val="008677F8"/>
    <w:rsid w:val="008678DD"/>
    <w:rsid w:val="00867954"/>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8CA"/>
    <w:rsid w:val="00871A41"/>
    <w:rsid w:val="00871BF9"/>
    <w:rsid w:val="00871C8D"/>
    <w:rsid w:val="00871D1D"/>
    <w:rsid w:val="008721D6"/>
    <w:rsid w:val="00872606"/>
    <w:rsid w:val="00872895"/>
    <w:rsid w:val="008728BB"/>
    <w:rsid w:val="00872DBD"/>
    <w:rsid w:val="00872EA3"/>
    <w:rsid w:val="00872F9E"/>
    <w:rsid w:val="00873148"/>
    <w:rsid w:val="00873207"/>
    <w:rsid w:val="0087327A"/>
    <w:rsid w:val="00873427"/>
    <w:rsid w:val="0087355E"/>
    <w:rsid w:val="008736DD"/>
    <w:rsid w:val="0087382B"/>
    <w:rsid w:val="00873AA4"/>
    <w:rsid w:val="00873BD9"/>
    <w:rsid w:val="00873D5A"/>
    <w:rsid w:val="00873D78"/>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56E6"/>
    <w:rsid w:val="008759E5"/>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19"/>
    <w:rsid w:val="008800DA"/>
    <w:rsid w:val="008801A7"/>
    <w:rsid w:val="008801DD"/>
    <w:rsid w:val="00880570"/>
    <w:rsid w:val="0088065A"/>
    <w:rsid w:val="00880793"/>
    <w:rsid w:val="0088090D"/>
    <w:rsid w:val="008809D8"/>
    <w:rsid w:val="00881049"/>
    <w:rsid w:val="008811F4"/>
    <w:rsid w:val="008817D3"/>
    <w:rsid w:val="0088194D"/>
    <w:rsid w:val="00881FF2"/>
    <w:rsid w:val="00882050"/>
    <w:rsid w:val="008823EE"/>
    <w:rsid w:val="008823F6"/>
    <w:rsid w:val="00882438"/>
    <w:rsid w:val="008824E0"/>
    <w:rsid w:val="0088278B"/>
    <w:rsid w:val="00882BE0"/>
    <w:rsid w:val="00882EF8"/>
    <w:rsid w:val="008830FA"/>
    <w:rsid w:val="008831AA"/>
    <w:rsid w:val="008831B2"/>
    <w:rsid w:val="00883210"/>
    <w:rsid w:val="0088352B"/>
    <w:rsid w:val="00883537"/>
    <w:rsid w:val="008835F5"/>
    <w:rsid w:val="00883938"/>
    <w:rsid w:val="008839AA"/>
    <w:rsid w:val="00883A2C"/>
    <w:rsid w:val="00883CF4"/>
    <w:rsid w:val="0088428C"/>
    <w:rsid w:val="008843E3"/>
    <w:rsid w:val="008844FD"/>
    <w:rsid w:val="00884749"/>
    <w:rsid w:val="00884859"/>
    <w:rsid w:val="00884AD6"/>
    <w:rsid w:val="00884BAD"/>
    <w:rsid w:val="00884BBA"/>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442"/>
    <w:rsid w:val="00887576"/>
    <w:rsid w:val="008875AE"/>
    <w:rsid w:val="00887846"/>
    <w:rsid w:val="008878DE"/>
    <w:rsid w:val="0088794C"/>
    <w:rsid w:val="00887A95"/>
    <w:rsid w:val="00887FFE"/>
    <w:rsid w:val="0089010B"/>
    <w:rsid w:val="0089037D"/>
    <w:rsid w:val="0089041F"/>
    <w:rsid w:val="00890803"/>
    <w:rsid w:val="00890B8E"/>
    <w:rsid w:val="00890CE4"/>
    <w:rsid w:val="00890D61"/>
    <w:rsid w:val="00890EFE"/>
    <w:rsid w:val="0089135C"/>
    <w:rsid w:val="008915D2"/>
    <w:rsid w:val="008916D7"/>
    <w:rsid w:val="008916F0"/>
    <w:rsid w:val="008917A4"/>
    <w:rsid w:val="008917BE"/>
    <w:rsid w:val="0089183C"/>
    <w:rsid w:val="00891899"/>
    <w:rsid w:val="008918DB"/>
    <w:rsid w:val="0089198C"/>
    <w:rsid w:val="00891B64"/>
    <w:rsid w:val="00891CA7"/>
    <w:rsid w:val="00891F0C"/>
    <w:rsid w:val="00892217"/>
    <w:rsid w:val="00892475"/>
    <w:rsid w:val="00892553"/>
    <w:rsid w:val="00892828"/>
    <w:rsid w:val="00892AFB"/>
    <w:rsid w:val="00893136"/>
    <w:rsid w:val="008934E1"/>
    <w:rsid w:val="00893563"/>
    <w:rsid w:val="008935B8"/>
    <w:rsid w:val="00893F14"/>
    <w:rsid w:val="00893F88"/>
    <w:rsid w:val="00894108"/>
    <w:rsid w:val="008942F7"/>
    <w:rsid w:val="0089446B"/>
    <w:rsid w:val="008947A0"/>
    <w:rsid w:val="008947C2"/>
    <w:rsid w:val="00894AB9"/>
    <w:rsid w:val="00894B3E"/>
    <w:rsid w:val="00894CFB"/>
    <w:rsid w:val="00894E5D"/>
    <w:rsid w:val="00894E8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5F0E"/>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2FF"/>
    <w:rsid w:val="008A1415"/>
    <w:rsid w:val="008A1427"/>
    <w:rsid w:val="008A18EE"/>
    <w:rsid w:val="008A1D3A"/>
    <w:rsid w:val="008A1F19"/>
    <w:rsid w:val="008A26D4"/>
    <w:rsid w:val="008A275A"/>
    <w:rsid w:val="008A295F"/>
    <w:rsid w:val="008A2B53"/>
    <w:rsid w:val="008A2CB3"/>
    <w:rsid w:val="008A2CE6"/>
    <w:rsid w:val="008A2EB0"/>
    <w:rsid w:val="008A2EF1"/>
    <w:rsid w:val="008A30C6"/>
    <w:rsid w:val="008A32BD"/>
    <w:rsid w:val="008A33A5"/>
    <w:rsid w:val="008A3514"/>
    <w:rsid w:val="008A3848"/>
    <w:rsid w:val="008A3898"/>
    <w:rsid w:val="008A3991"/>
    <w:rsid w:val="008A39B0"/>
    <w:rsid w:val="008A39B4"/>
    <w:rsid w:val="008A3AB0"/>
    <w:rsid w:val="008A3AD6"/>
    <w:rsid w:val="008A3AFD"/>
    <w:rsid w:val="008A3EF1"/>
    <w:rsid w:val="008A40A8"/>
    <w:rsid w:val="008A40CA"/>
    <w:rsid w:val="008A446A"/>
    <w:rsid w:val="008A453A"/>
    <w:rsid w:val="008A4781"/>
    <w:rsid w:val="008A48B1"/>
    <w:rsid w:val="008A4C2D"/>
    <w:rsid w:val="008A4C60"/>
    <w:rsid w:val="008A4F20"/>
    <w:rsid w:val="008A5228"/>
    <w:rsid w:val="008A53A7"/>
    <w:rsid w:val="008A564C"/>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6F7E"/>
    <w:rsid w:val="008A707C"/>
    <w:rsid w:val="008A70A5"/>
    <w:rsid w:val="008A749D"/>
    <w:rsid w:val="008A749E"/>
    <w:rsid w:val="008A75F2"/>
    <w:rsid w:val="008A7621"/>
    <w:rsid w:val="008A76B9"/>
    <w:rsid w:val="008A7717"/>
    <w:rsid w:val="008A79C7"/>
    <w:rsid w:val="008A79FA"/>
    <w:rsid w:val="008A7AA4"/>
    <w:rsid w:val="008A7B31"/>
    <w:rsid w:val="008A7F3E"/>
    <w:rsid w:val="008B0182"/>
    <w:rsid w:val="008B08FC"/>
    <w:rsid w:val="008B0941"/>
    <w:rsid w:val="008B0AF1"/>
    <w:rsid w:val="008B0B24"/>
    <w:rsid w:val="008B0E5A"/>
    <w:rsid w:val="008B1045"/>
    <w:rsid w:val="008B10A7"/>
    <w:rsid w:val="008B115C"/>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33B"/>
    <w:rsid w:val="008B453C"/>
    <w:rsid w:val="008B455D"/>
    <w:rsid w:val="008B4568"/>
    <w:rsid w:val="008B45FB"/>
    <w:rsid w:val="008B48DA"/>
    <w:rsid w:val="008B4C78"/>
    <w:rsid w:val="008B4EA1"/>
    <w:rsid w:val="008B4F62"/>
    <w:rsid w:val="008B5231"/>
    <w:rsid w:val="008B52AC"/>
    <w:rsid w:val="008B52F3"/>
    <w:rsid w:val="008B5619"/>
    <w:rsid w:val="008B5772"/>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AF7"/>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725"/>
    <w:rsid w:val="008C384B"/>
    <w:rsid w:val="008C3E0B"/>
    <w:rsid w:val="008C40AE"/>
    <w:rsid w:val="008C41D3"/>
    <w:rsid w:val="008C4318"/>
    <w:rsid w:val="008C433B"/>
    <w:rsid w:val="008C43F5"/>
    <w:rsid w:val="008C4448"/>
    <w:rsid w:val="008C4604"/>
    <w:rsid w:val="008C46BC"/>
    <w:rsid w:val="008C4ACE"/>
    <w:rsid w:val="008C5211"/>
    <w:rsid w:val="008C5357"/>
    <w:rsid w:val="008C54B3"/>
    <w:rsid w:val="008C55F1"/>
    <w:rsid w:val="008C5729"/>
    <w:rsid w:val="008C58A1"/>
    <w:rsid w:val="008C58E3"/>
    <w:rsid w:val="008C5AA9"/>
    <w:rsid w:val="008C5C90"/>
    <w:rsid w:val="008C6632"/>
    <w:rsid w:val="008C6740"/>
    <w:rsid w:val="008C6773"/>
    <w:rsid w:val="008C67C5"/>
    <w:rsid w:val="008C6F36"/>
    <w:rsid w:val="008C7053"/>
    <w:rsid w:val="008C7193"/>
    <w:rsid w:val="008C71B3"/>
    <w:rsid w:val="008C7204"/>
    <w:rsid w:val="008C7380"/>
    <w:rsid w:val="008C7461"/>
    <w:rsid w:val="008C7825"/>
    <w:rsid w:val="008C782C"/>
    <w:rsid w:val="008C7903"/>
    <w:rsid w:val="008C791C"/>
    <w:rsid w:val="008C7934"/>
    <w:rsid w:val="008C7A35"/>
    <w:rsid w:val="008C7A36"/>
    <w:rsid w:val="008C7A3E"/>
    <w:rsid w:val="008C7ADE"/>
    <w:rsid w:val="008C7CF5"/>
    <w:rsid w:val="008C7D10"/>
    <w:rsid w:val="008D01D3"/>
    <w:rsid w:val="008D02B4"/>
    <w:rsid w:val="008D02F0"/>
    <w:rsid w:val="008D0564"/>
    <w:rsid w:val="008D05CD"/>
    <w:rsid w:val="008D0711"/>
    <w:rsid w:val="008D0E6D"/>
    <w:rsid w:val="008D0ED2"/>
    <w:rsid w:val="008D144B"/>
    <w:rsid w:val="008D1512"/>
    <w:rsid w:val="008D1AF4"/>
    <w:rsid w:val="008D1C24"/>
    <w:rsid w:val="008D1D5E"/>
    <w:rsid w:val="008D1E21"/>
    <w:rsid w:val="008D1E95"/>
    <w:rsid w:val="008D208F"/>
    <w:rsid w:val="008D2408"/>
    <w:rsid w:val="008D28EF"/>
    <w:rsid w:val="008D2918"/>
    <w:rsid w:val="008D2994"/>
    <w:rsid w:val="008D2C2A"/>
    <w:rsid w:val="008D2EED"/>
    <w:rsid w:val="008D2FF2"/>
    <w:rsid w:val="008D311A"/>
    <w:rsid w:val="008D3403"/>
    <w:rsid w:val="008D373D"/>
    <w:rsid w:val="008D3ADA"/>
    <w:rsid w:val="008D3D41"/>
    <w:rsid w:val="008D3DE4"/>
    <w:rsid w:val="008D419A"/>
    <w:rsid w:val="008D4349"/>
    <w:rsid w:val="008D48DA"/>
    <w:rsid w:val="008D4902"/>
    <w:rsid w:val="008D4979"/>
    <w:rsid w:val="008D49D3"/>
    <w:rsid w:val="008D4B29"/>
    <w:rsid w:val="008D4C59"/>
    <w:rsid w:val="008D4D04"/>
    <w:rsid w:val="008D4E09"/>
    <w:rsid w:val="008D53F1"/>
    <w:rsid w:val="008D5BAD"/>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6C9"/>
    <w:rsid w:val="008E073A"/>
    <w:rsid w:val="008E0CE0"/>
    <w:rsid w:val="008E0D7F"/>
    <w:rsid w:val="008E1003"/>
    <w:rsid w:val="008E11B5"/>
    <w:rsid w:val="008E1280"/>
    <w:rsid w:val="008E1854"/>
    <w:rsid w:val="008E18C2"/>
    <w:rsid w:val="008E1E64"/>
    <w:rsid w:val="008E238B"/>
    <w:rsid w:val="008E239B"/>
    <w:rsid w:val="008E25F2"/>
    <w:rsid w:val="008E26F0"/>
    <w:rsid w:val="008E2726"/>
    <w:rsid w:val="008E27B8"/>
    <w:rsid w:val="008E2A0E"/>
    <w:rsid w:val="008E2E7F"/>
    <w:rsid w:val="008E2FA5"/>
    <w:rsid w:val="008E33FF"/>
    <w:rsid w:val="008E36A9"/>
    <w:rsid w:val="008E3799"/>
    <w:rsid w:val="008E37FD"/>
    <w:rsid w:val="008E3B9F"/>
    <w:rsid w:val="008E406C"/>
    <w:rsid w:val="008E41D0"/>
    <w:rsid w:val="008E4454"/>
    <w:rsid w:val="008E4685"/>
    <w:rsid w:val="008E47E0"/>
    <w:rsid w:val="008E480D"/>
    <w:rsid w:val="008E481D"/>
    <w:rsid w:val="008E48DE"/>
    <w:rsid w:val="008E49E5"/>
    <w:rsid w:val="008E4B90"/>
    <w:rsid w:val="008E4CE3"/>
    <w:rsid w:val="008E4F24"/>
    <w:rsid w:val="008E4FB4"/>
    <w:rsid w:val="008E55D4"/>
    <w:rsid w:val="008E55D5"/>
    <w:rsid w:val="008E5796"/>
    <w:rsid w:val="008E5917"/>
    <w:rsid w:val="008E59AC"/>
    <w:rsid w:val="008E5B2A"/>
    <w:rsid w:val="008E5B3E"/>
    <w:rsid w:val="008E5D1D"/>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3F"/>
    <w:rsid w:val="008E7E65"/>
    <w:rsid w:val="008F0093"/>
    <w:rsid w:val="008F034D"/>
    <w:rsid w:val="008F04FE"/>
    <w:rsid w:val="008F05BC"/>
    <w:rsid w:val="008F07F6"/>
    <w:rsid w:val="008F08A1"/>
    <w:rsid w:val="008F091B"/>
    <w:rsid w:val="008F0A48"/>
    <w:rsid w:val="008F120F"/>
    <w:rsid w:val="008F1284"/>
    <w:rsid w:val="008F1475"/>
    <w:rsid w:val="008F14E5"/>
    <w:rsid w:val="008F15AC"/>
    <w:rsid w:val="008F17D3"/>
    <w:rsid w:val="008F18E6"/>
    <w:rsid w:val="008F1974"/>
    <w:rsid w:val="008F19C8"/>
    <w:rsid w:val="008F1AE0"/>
    <w:rsid w:val="008F1D2E"/>
    <w:rsid w:val="008F1EEA"/>
    <w:rsid w:val="008F2523"/>
    <w:rsid w:val="008F253B"/>
    <w:rsid w:val="008F2598"/>
    <w:rsid w:val="008F25E1"/>
    <w:rsid w:val="008F2825"/>
    <w:rsid w:val="008F2D16"/>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BF"/>
    <w:rsid w:val="008F4AFF"/>
    <w:rsid w:val="008F4D1D"/>
    <w:rsid w:val="008F4D4B"/>
    <w:rsid w:val="008F4E3A"/>
    <w:rsid w:val="008F561B"/>
    <w:rsid w:val="008F590E"/>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E7"/>
    <w:rsid w:val="008F69FE"/>
    <w:rsid w:val="008F6D18"/>
    <w:rsid w:val="008F6DF4"/>
    <w:rsid w:val="008F71A4"/>
    <w:rsid w:val="008F71BE"/>
    <w:rsid w:val="008F739B"/>
    <w:rsid w:val="008F7466"/>
    <w:rsid w:val="008F749F"/>
    <w:rsid w:val="008F750B"/>
    <w:rsid w:val="008F773E"/>
    <w:rsid w:val="008F7CA6"/>
    <w:rsid w:val="00900167"/>
    <w:rsid w:val="0090019B"/>
    <w:rsid w:val="00900365"/>
    <w:rsid w:val="009004E9"/>
    <w:rsid w:val="00900654"/>
    <w:rsid w:val="009008DA"/>
    <w:rsid w:val="00900E53"/>
    <w:rsid w:val="00900E73"/>
    <w:rsid w:val="00900F4F"/>
    <w:rsid w:val="009013FD"/>
    <w:rsid w:val="009015A9"/>
    <w:rsid w:val="00901798"/>
    <w:rsid w:val="00901A6B"/>
    <w:rsid w:val="00901BD5"/>
    <w:rsid w:val="00901E84"/>
    <w:rsid w:val="00901FD8"/>
    <w:rsid w:val="009020DD"/>
    <w:rsid w:val="0090269D"/>
    <w:rsid w:val="009028AE"/>
    <w:rsid w:val="00902A07"/>
    <w:rsid w:val="00902C8C"/>
    <w:rsid w:val="00902F34"/>
    <w:rsid w:val="00903024"/>
    <w:rsid w:val="009034FC"/>
    <w:rsid w:val="0090375A"/>
    <w:rsid w:val="009037FE"/>
    <w:rsid w:val="00903A8D"/>
    <w:rsid w:val="00903C02"/>
    <w:rsid w:val="00903CFB"/>
    <w:rsid w:val="00903D2F"/>
    <w:rsid w:val="00903D6F"/>
    <w:rsid w:val="00903DBF"/>
    <w:rsid w:val="00904467"/>
    <w:rsid w:val="00904654"/>
    <w:rsid w:val="00904795"/>
    <w:rsid w:val="00904A5D"/>
    <w:rsid w:val="00904C62"/>
    <w:rsid w:val="00904D7E"/>
    <w:rsid w:val="00904FC4"/>
    <w:rsid w:val="009051CB"/>
    <w:rsid w:val="009054E6"/>
    <w:rsid w:val="00905643"/>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72"/>
    <w:rsid w:val="00907CAA"/>
    <w:rsid w:val="00907D89"/>
    <w:rsid w:val="00907DDC"/>
    <w:rsid w:val="00907E84"/>
    <w:rsid w:val="00907F75"/>
    <w:rsid w:val="009101D7"/>
    <w:rsid w:val="00910352"/>
    <w:rsid w:val="00910C76"/>
    <w:rsid w:val="00910D65"/>
    <w:rsid w:val="00911084"/>
    <w:rsid w:val="0091110D"/>
    <w:rsid w:val="00911141"/>
    <w:rsid w:val="00911175"/>
    <w:rsid w:val="009112C6"/>
    <w:rsid w:val="0091142C"/>
    <w:rsid w:val="00911487"/>
    <w:rsid w:val="009117E9"/>
    <w:rsid w:val="00911908"/>
    <w:rsid w:val="00911CC6"/>
    <w:rsid w:val="00911DBF"/>
    <w:rsid w:val="00911E3A"/>
    <w:rsid w:val="0091226D"/>
    <w:rsid w:val="009124B5"/>
    <w:rsid w:val="009125B8"/>
    <w:rsid w:val="00912994"/>
    <w:rsid w:val="009129C0"/>
    <w:rsid w:val="00912A08"/>
    <w:rsid w:val="00912AC2"/>
    <w:rsid w:val="00912AE5"/>
    <w:rsid w:val="00912B84"/>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0AC"/>
    <w:rsid w:val="0091550F"/>
    <w:rsid w:val="0091557D"/>
    <w:rsid w:val="00915648"/>
    <w:rsid w:val="0091578D"/>
    <w:rsid w:val="009158D5"/>
    <w:rsid w:val="00915932"/>
    <w:rsid w:val="00915B58"/>
    <w:rsid w:val="00915B95"/>
    <w:rsid w:val="00915CD6"/>
    <w:rsid w:val="00916044"/>
    <w:rsid w:val="0091636F"/>
    <w:rsid w:val="009163F2"/>
    <w:rsid w:val="0091648D"/>
    <w:rsid w:val="00916648"/>
    <w:rsid w:val="00916695"/>
    <w:rsid w:val="009166D6"/>
    <w:rsid w:val="00916862"/>
    <w:rsid w:val="009169C7"/>
    <w:rsid w:val="009169F4"/>
    <w:rsid w:val="00916BD1"/>
    <w:rsid w:val="00917164"/>
    <w:rsid w:val="0091723E"/>
    <w:rsid w:val="00917336"/>
    <w:rsid w:val="009177DD"/>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1"/>
    <w:rsid w:val="009218C8"/>
    <w:rsid w:val="009219C9"/>
    <w:rsid w:val="00921BD1"/>
    <w:rsid w:val="00921C06"/>
    <w:rsid w:val="00921DE4"/>
    <w:rsid w:val="00922033"/>
    <w:rsid w:val="00922036"/>
    <w:rsid w:val="00922331"/>
    <w:rsid w:val="00922502"/>
    <w:rsid w:val="0092260A"/>
    <w:rsid w:val="0092261F"/>
    <w:rsid w:val="009226DD"/>
    <w:rsid w:val="00922A1F"/>
    <w:rsid w:val="00922AA2"/>
    <w:rsid w:val="00922B9A"/>
    <w:rsid w:val="00922F57"/>
    <w:rsid w:val="009232A5"/>
    <w:rsid w:val="00923437"/>
    <w:rsid w:val="009235AE"/>
    <w:rsid w:val="009237FE"/>
    <w:rsid w:val="0092390D"/>
    <w:rsid w:val="00923A26"/>
    <w:rsid w:val="00923BDD"/>
    <w:rsid w:val="00923CB3"/>
    <w:rsid w:val="009240AE"/>
    <w:rsid w:val="00924378"/>
    <w:rsid w:val="00924546"/>
    <w:rsid w:val="00924BF5"/>
    <w:rsid w:val="00924D73"/>
    <w:rsid w:val="00924EAE"/>
    <w:rsid w:val="00924FC4"/>
    <w:rsid w:val="00925997"/>
    <w:rsid w:val="00925BCE"/>
    <w:rsid w:val="00925BE0"/>
    <w:rsid w:val="00925C0C"/>
    <w:rsid w:val="00925C29"/>
    <w:rsid w:val="00926208"/>
    <w:rsid w:val="009262C4"/>
    <w:rsid w:val="00926422"/>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273"/>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8"/>
    <w:rsid w:val="009320F9"/>
    <w:rsid w:val="009321DF"/>
    <w:rsid w:val="00932317"/>
    <w:rsid w:val="009323FC"/>
    <w:rsid w:val="00932543"/>
    <w:rsid w:val="009325E4"/>
    <w:rsid w:val="00932BC5"/>
    <w:rsid w:val="00932D45"/>
    <w:rsid w:val="00932FE8"/>
    <w:rsid w:val="009331F6"/>
    <w:rsid w:val="009332FE"/>
    <w:rsid w:val="009335FD"/>
    <w:rsid w:val="0093366E"/>
    <w:rsid w:val="00933B5F"/>
    <w:rsid w:val="00933BA1"/>
    <w:rsid w:val="00933BAC"/>
    <w:rsid w:val="00933C8C"/>
    <w:rsid w:val="00933CDE"/>
    <w:rsid w:val="00933DFA"/>
    <w:rsid w:val="009341D9"/>
    <w:rsid w:val="00934235"/>
    <w:rsid w:val="00934360"/>
    <w:rsid w:val="009343AC"/>
    <w:rsid w:val="009343CE"/>
    <w:rsid w:val="00934682"/>
    <w:rsid w:val="00934716"/>
    <w:rsid w:val="009347EB"/>
    <w:rsid w:val="00934B3B"/>
    <w:rsid w:val="00934D4C"/>
    <w:rsid w:val="0093504A"/>
    <w:rsid w:val="00935106"/>
    <w:rsid w:val="00935242"/>
    <w:rsid w:val="00935371"/>
    <w:rsid w:val="0093549E"/>
    <w:rsid w:val="00935780"/>
    <w:rsid w:val="00935C9F"/>
    <w:rsid w:val="00935D65"/>
    <w:rsid w:val="00935DC8"/>
    <w:rsid w:val="00935E01"/>
    <w:rsid w:val="00935FE2"/>
    <w:rsid w:val="009361D7"/>
    <w:rsid w:val="00936208"/>
    <w:rsid w:val="009366B3"/>
    <w:rsid w:val="00936771"/>
    <w:rsid w:val="00936C68"/>
    <w:rsid w:val="00936D52"/>
    <w:rsid w:val="00937087"/>
    <w:rsid w:val="009370FA"/>
    <w:rsid w:val="009373FC"/>
    <w:rsid w:val="00937506"/>
    <w:rsid w:val="0093757F"/>
    <w:rsid w:val="009375E1"/>
    <w:rsid w:val="00937699"/>
    <w:rsid w:val="0093799F"/>
    <w:rsid w:val="009379DA"/>
    <w:rsid w:val="0094015D"/>
    <w:rsid w:val="0094053E"/>
    <w:rsid w:val="0094056A"/>
    <w:rsid w:val="0094068A"/>
    <w:rsid w:val="0094098F"/>
    <w:rsid w:val="00940ACB"/>
    <w:rsid w:val="00941287"/>
    <w:rsid w:val="009412B2"/>
    <w:rsid w:val="00941430"/>
    <w:rsid w:val="00941537"/>
    <w:rsid w:val="009417A9"/>
    <w:rsid w:val="00941933"/>
    <w:rsid w:val="0094196C"/>
    <w:rsid w:val="00941D8B"/>
    <w:rsid w:val="0094208C"/>
    <w:rsid w:val="009421ED"/>
    <w:rsid w:val="00942809"/>
    <w:rsid w:val="00942EE6"/>
    <w:rsid w:val="00942F2A"/>
    <w:rsid w:val="00942F41"/>
    <w:rsid w:val="00943004"/>
    <w:rsid w:val="009437B0"/>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431"/>
    <w:rsid w:val="009465F2"/>
    <w:rsid w:val="00946669"/>
    <w:rsid w:val="009466C5"/>
    <w:rsid w:val="00946BED"/>
    <w:rsid w:val="0094704D"/>
    <w:rsid w:val="0094718E"/>
    <w:rsid w:val="00947209"/>
    <w:rsid w:val="00947442"/>
    <w:rsid w:val="009477F0"/>
    <w:rsid w:val="009478A6"/>
    <w:rsid w:val="00947AA6"/>
    <w:rsid w:val="00947DCC"/>
    <w:rsid w:val="00947F1D"/>
    <w:rsid w:val="00947F4F"/>
    <w:rsid w:val="00950289"/>
    <w:rsid w:val="00950389"/>
    <w:rsid w:val="009503F5"/>
    <w:rsid w:val="00950523"/>
    <w:rsid w:val="0095069C"/>
    <w:rsid w:val="009506A0"/>
    <w:rsid w:val="009508CB"/>
    <w:rsid w:val="009508F2"/>
    <w:rsid w:val="00950D1A"/>
    <w:rsid w:val="0095120E"/>
    <w:rsid w:val="00951485"/>
    <w:rsid w:val="00951525"/>
    <w:rsid w:val="00951666"/>
    <w:rsid w:val="00951FDB"/>
    <w:rsid w:val="00952047"/>
    <w:rsid w:val="00952126"/>
    <w:rsid w:val="009521BC"/>
    <w:rsid w:val="009521F3"/>
    <w:rsid w:val="0095242A"/>
    <w:rsid w:val="00952B22"/>
    <w:rsid w:val="00952BE3"/>
    <w:rsid w:val="00952D8C"/>
    <w:rsid w:val="00952D90"/>
    <w:rsid w:val="00952FD1"/>
    <w:rsid w:val="00953101"/>
    <w:rsid w:val="0095383D"/>
    <w:rsid w:val="00953898"/>
    <w:rsid w:val="00953A8C"/>
    <w:rsid w:val="00953A9D"/>
    <w:rsid w:val="00953B2E"/>
    <w:rsid w:val="00953BDB"/>
    <w:rsid w:val="00953F48"/>
    <w:rsid w:val="0095421E"/>
    <w:rsid w:val="009543AE"/>
    <w:rsid w:val="00954403"/>
    <w:rsid w:val="0095453A"/>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4B9"/>
    <w:rsid w:val="00956728"/>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73A"/>
    <w:rsid w:val="00962A25"/>
    <w:rsid w:val="00962CFC"/>
    <w:rsid w:val="00962D6A"/>
    <w:rsid w:val="00962DEC"/>
    <w:rsid w:val="00963015"/>
    <w:rsid w:val="0096309D"/>
    <w:rsid w:val="00963817"/>
    <w:rsid w:val="009638BB"/>
    <w:rsid w:val="00963C30"/>
    <w:rsid w:val="00963D2D"/>
    <w:rsid w:val="00963E98"/>
    <w:rsid w:val="00963F22"/>
    <w:rsid w:val="009640F9"/>
    <w:rsid w:val="00964355"/>
    <w:rsid w:val="00964400"/>
    <w:rsid w:val="009647F3"/>
    <w:rsid w:val="00964B17"/>
    <w:rsid w:val="00964CFF"/>
    <w:rsid w:val="00964F7B"/>
    <w:rsid w:val="00964FDE"/>
    <w:rsid w:val="00965230"/>
    <w:rsid w:val="00965324"/>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9B5"/>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28DF"/>
    <w:rsid w:val="00972B72"/>
    <w:rsid w:val="00972C40"/>
    <w:rsid w:val="00972C8C"/>
    <w:rsid w:val="009732C3"/>
    <w:rsid w:val="009732EA"/>
    <w:rsid w:val="009733AA"/>
    <w:rsid w:val="00973524"/>
    <w:rsid w:val="00973607"/>
    <w:rsid w:val="00973612"/>
    <w:rsid w:val="00973671"/>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DCC"/>
    <w:rsid w:val="00975FAC"/>
    <w:rsid w:val="0097607C"/>
    <w:rsid w:val="009765E1"/>
    <w:rsid w:val="0097663A"/>
    <w:rsid w:val="009766BC"/>
    <w:rsid w:val="00976914"/>
    <w:rsid w:val="00976D69"/>
    <w:rsid w:val="00976DFF"/>
    <w:rsid w:val="00976EA2"/>
    <w:rsid w:val="00976F5B"/>
    <w:rsid w:val="00976FEF"/>
    <w:rsid w:val="00977391"/>
    <w:rsid w:val="00977403"/>
    <w:rsid w:val="009776CB"/>
    <w:rsid w:val="009778A7"/>
    <w:rsid w:val="00977AFE"/>
    <w:rsid w:val="00977CD8"/>
    <w:rsid w:val="00977D94"/>
    <w:rsid w:val="00977F80"/>
    <w:rsid w:val="009802B0"/>
    <w:rsid w:val="009802EE"/>
    <w:rsid w:val="00980315"/>
    <w:rsid w:val="0098060B"/>
    <w:rsid w:val="009806E9"/>
    <w:rsid w:val="0098097E"/>
    <w:rsid w:val="00980B9D"/>
    <w:rsid w:val="00980BA4"/>
    <w:rsid w:val="00980E75"/>
    <w:rsid w:val="0098107F"/>
    <w:rsid w:val="009811B1"/>
    <w:rsid w:val="0098126E"/>
    <w:rsid w:val="00981273"/>
    <w:rsid w:val="0098132D"/>
    <w:rsid w:val="0098163A"/>
    <w:rsid w:val="00981680"/>
    <w:rsid w:val="0098194B"/>
    <w:rsid w:val="00981CA2"/>
    <w:rsid w:val="0098205B"/>
    <w:rsid w:val="00982109"/>
    <w:rsid w:val="00982137"/>
    <w:rsid w:val="009828C8"/>
    <w:rsid w:val="00982AD5"/>
    <w:rsid w:val="00982EB9"/>
    <w:rsid w:val="00983021"/>
    <w:rsid w:val="009835FC"/>
    <w:rsid w:val="00983958"/>
    <w:rsid w:val="00983EC3"/>
    <w:rsid w:val="00984484"/>
    <w:rsid w:val="009844D7"/>
    <w:rsid w:val="0098455E"/>
    <w:rsid w:val="0098455F"/>
    <w:rsid w:val="009848A7"/>
    <w:rsid w:val="00984A20"/>
    <w:rsid w:val="00984C04"/>
    <w:rsid w:val="00984C41"/>
    <w:rsid w:val="00984E99"/>
    <w:rsid w:val="009851EA"/>
    <w:rsid w:val="00985670"/>
    <w:rsid w:val="009857F2"/>
    <w:rsid w:val="00985A3F"/>
    <w:rsid w:val="00985A62"/>
    <w:rsid w:val="00985F95"/>
    <w:rsid w:val="00986046"/>
    <w:rsid w:val="00986572"/>
    <w:rsid w:val="00986948"/>
    <w:rsid w:val="0098698B"/>
    <w:rsid w:val="00986AB2"/>
    <w:rsid w:val="00986DD5"/>
    <w:rsid w:val="00986E4B"/>
    <w:rsid w:val="00986F46"/>
    <w:rsid w:val="00986FAC"/>
    <w:rsid w:val="0098707D"/>
    <w:rsid w:val="00987484"/>
    <w:rsid w:val="0098757C"/>
    <w:rsid w:val="00987A4A"/>
    <w:rsid w:val="009906F6"/>
    <w:rsid w:val="0099089D"/>
    <w:rsid w:val="009908A7"/>
    <w:rsid w:val="0099098A"/>
    <w:rsid w:val="00990D30"/>
    <w:rsid w:val="00990F72"/>
    <w:rsid w:val="00991141"/>
    <w:rsid w:val="009913D6"/>
    <w:rsid w:val="0099142E"/>
    <w:rsid w:val="00991634"/>
    <w:rsid w:val="0099173A"/>
    <w:rsid w:val="0099175F"/>
    <w:rsid w:val="009918BA"/>
    <w:rsid w:val="00991B29"/>
    <w:rsid w:val="00991B9C"/>
    <w:rsid w:val="00991BC1"/>
    <w:rsid w:val="00991C48"/>
    <w:rsid w:val="00991FBB"/>
    <w:rsid w:val="00992264"/>
    <w:rsid w:val="00992737"/>
    <w:rsid w:val="009927A6"/>
    <w:rsid w:val="00992891"/>
    <w:rsid w:val="009929BE"/>
    <w:rsid w:val="00992AD6"/>
    <w:rsid w:val="00992B2E"/>
    <w:rsid w:val="00992B3B"/>
    <w:rsid w:val="00992BD1"/>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5F7"/>
    <w:rsid w:val="009958DE"/>
    <w:rsid w:val="00995A67"/>
    <w:rsid w:val="00995BE6"/>
    <w:rsid w:val="00995C90"/>
    <w:rsid w:val="00995C94"/>
    <w:rsid w:val="00995CB1"/>
    <w:rsid w:val="00995CBC"/>
    <w:rsid w:val="00995D73"/>
    <w:rsid w:val="00995FDC"/>
    <w:rsid w:val="009966DB"/>
    <w:rsid w:val="0099686C"/>
    <w:rsid w:val="009968E0"/>
    <w:rsid w:val="00996B9D"/>
    <w:rsid w:val="009973FE"/>
    <w:rsid w:val="00997490"/>
    <w:rsid w:val="00997508"/>
    <w:rsid w:val="00997749"/>
    <w:rsid w:val="00997A1F"/>
    <w:rsid w:val="00997BD1"/>
    <w:rsid w:val="00997D3B"/>
    <w:rsid w:val="00997DBD"/>
    <w:rsid w:val="00997E3D"/>
    <w:rsid w:val="00997FC2"/>
    <w:rsid w:val="009A0572"/>
    <w:rsid w:val="009A078C"/>
    <w:rsid w:val="009A0940"/>
    <w:rsid w:val="009A0A93"/>
    <w:rsid w:val="009A0F51"/>
    <w:rsid w:val="009A1240"/>
    <w:rsid w:val="009A13AD"/>
    <w:rsid w:val="009A193C"/>
    <w:rsid w:val="009A209D"/>
    <w:rsid w:val="009A2116"/>
    <w:rsid w:val="009A22B7"/>
    <w:rsid w:val="009A232F"/>
    <w:rsid w:val="009A240F"/>
    <w:rsid w:val="009A2BD6"/>
    <w:rsid w:val="009A3182"/>
    <w:rsid w:val="009A3292"/>
    <w:rsid w:val="009A32EC"/>
    <w:rsid w:val="009A3546"/>
    <w:rsid w:val="009A3C59"/>
    <w:rsid w:val="009A408C"/>
    <w:rsid w:val="009A4105"/>
    <w:rsid w:val="009A4307"/>
    <w:rsid w:val="009A43B9"/>
    <w:rsid w:val="009A45FF"/>
    <w:rsid w:val="009A4661"/>
    <w:rsid w:val="009A4695"/>
    <w:rsid w:val="009A49F8"/>
    <w:rsid w:val="009A4A44"/>
    <w:rsid w:val="009A4BA1"/>
    <w:rsid w:val="009A4FF9"/>
    <w:rsid w:val="009A55B9"/>
    <w:rsid w:val="009A59A2"/>
    <w:rsid w:val="009A5A26"/>
    <w:rsid w:val="009A5B27"/>
    <w:rsid w:val="009A5DAD"/>
    <w:rsid w:val="009A64C3"/>
    <w:rsid w:val="009A65FE"/>
    <w:rsid w:val="009A687B"/>
    <w:rsid w:val="009A6A63"/>
    <w:rsid w:val="009A6D38"/>
    <w:rsid w:val="009A6E11"/>
    <w:rsid w:val="009A6F42"/>
    <w:rsid w:val="009A6F7A"/>
    <w:rsid w:val="009A706B"/>
    <w:rsid w:val="009A742C"/>
    <w:rsid w:val="009A7473"/>
    <w:rsid w:val="009A7497"/>
    <w:rsid w:val="009A74B8"/>
    <w:rsid w:val="009A75A3"/>
    <w:rsid w:val="009A7706"/>
    <w:rsid w:val="009A78CF"/>
    <w:rsid w:val="009B0069"/>
    <w:rsid w:val="009B021B"/>
    <w:rsid w:val="009B0610"/>
    <w:rsid w:val="009B06B5"/>
    <w:rsid w:val="009B091C"/>
    <w:rsid w:val="009B0E26"/>
    <w:rsid w:val="009B0F59"/>
    <w:rsid w:val="009B10A3"/>
    <w:rsid w:val="009B13AA"/>
    <w:rsid w:val="009B1489"/>
    <w:rsid w:val="009B173F"/>
    <w:rsid w:val="009B1E80"/>
    <w:rsid w:val="009B1F55"/>
    <w:rsid w:val="009B26AA"/>
    <w:rsid w:val="009B2851"/>
    <w:rsid w:val="009B28BF"/>
    <w:rsid w:val="009B28C4"/>
    <w:rsid w:val="009B2E36"/>
    <w:rsid w:val="009B2F4C"/>
    <w:rsid w:val="009B35D6"/>
    <w:rsid w:val="009B394A"/>
    <w:rsid w:val="009B39E7"/>
    <w:rsid w:val="009B3C8F"/>
    <w:rsid w:val="009B3D01"/>
    <w:rsid w:val="009B3DAC"/>
    <w:rsid w:val="009B42F7"/>
    <w:rsid w:val="009B472D"/>
    <w:rsid w:val="009B4855"/>
    <w:rsid w:val="009B4985"/>
    <w:rsid w:val="009B4B78"/>
    <w:rsid w:val="009B4D23"/>
    <w:rsid w:val="009B502B"/>
    <w:rsid w:val="009B52B7"/>
    <w:rsid w:val="009B52C0"/>
    <w:rsid w:val="009B553E"/>
    <w:rsid w:val="009B5738"/>
    <w:rsid w:val="009B579E"/>
    <w:rsid w:val="009B59DA"/>
    <w:rsid w:val="009B5AC8"/>
    <w:rsid w:val="009B5ACF"/>
    <w:rsid w:val="009B5B80"/>
    <w:rsid w:val="009B5D35"/>
    <w:rsid w:val="009B5DF6"/>
    <w:rsid w:val="009B6050"/>
    <w:rsid w:val="009B6729"/>
    <w:rsid w:val="009B689B"/>
    <w:rsid w:val="009B6CCC"/>
    <w:rsid w:val="009B6EA5"/>
    <w:rsid w:val="009B6EB4"/>
    <w:rsid w:val="009B71C1"/>
    <w:rsid w:val="009B7458"/>
    <w:rsid w:val="009B7666"/>
    <w:rsid w:val="009B767B"/>
    <w:rsid w:val="009B769C"/>
    <w:rsid w:val="009B76EA"/>
    <w:rsid w:val="009B790F"/>
    <w:rsid w:val="009B7C80"/>
    <w:rsid w:val="009B7ED5"/>
    <w:rsid w:val="009C0056"/>
    <w:rsid w:val="009C0254"/>
    <w:rsid w:val="009C03CB"/>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3F5A"/>
    <w:rsid w:val="009C4091"/>
    <w:rsid w:val="009C4200"/>
    <w:rsid w:val="009C4E0E"/>
    <w:rsid w:val="009C4E33"/>
    <w:rsid w:val="009C4E6E"/>
    <w:rsid w:val="009C4FD9"/>
    <w:rsid w:val="009C5497"/>
    <w:rsid w:val="009C564D"/>
    <w:rsid w:val="009C56AE"/>
    <w:rsid w:val="009C56E2"/>
    <w:rsid w:val="009C5899"/>
    <w:rsid w:val="009C58AD"/>
    <w:rsid w:val="009C5A8B"/>
    <w:rsid w:val="009C5B88"/>
    <w:rsid w:val="009C608C"/>
    <w:rsid w:val="009C62A8"/>
    <w:rsid w:val="009C657F"/>
    <w:rsid w:val="009C68AE"/>
    <w:rsid w:val="009C6A81"/>
    <w:rsid w:val="009C6CC9"/>
    <w:rsid w:val="009C6F11"/>
    <w:rsid w:val="009C6F57"/>
    <w:rsid w:val="009C6FF3"/>
    <w:rsid w:val="009C7439"/>
    <w:rsid w:val="009C7485"/>
    <w:rsid w:val="009C74D6"/>
    <w:rsid w:val="009C7799"/>
    <w:rsid w:val="009C77CC"/>
    <w:rsid w:val="009C78D2"/>
    <w:rsid w:val="009C7BCC"/>
    <w:rsid w:val="009D009C"/>
    <w:rsid w:val="009D019B"/>
    <w:rsid w:val="009D01A9"/>
    <w:rsid w:val="009D046E"/>
    <w:rsid w:val="009D04FF"/>
    <w:rsid w:val="009D0564"/>
    <w:rsid w:val="009D06D8"/>
    <w:rsid w:val="009D0842"/>
    <w:rsid w:val="009D0F2E"/>
    <w:rsid w:val="009D0FFC"/>
    <w:rsid w:val="009D1B87"/>
    <w:rsid w:val="009D1D3E"/>
    <w:rsid w:val="009D229F"/>
    <w:rsid w:val="009D2367"/>
    <w:rsid w:val="009D2450"/>
    <w:rsid w:val="009D25E5"/>
    <w:rsid w:val="009D2ABB"/>
    <w:rsid w:val="009D2F12"/>
    <w:rsid w:val="009D2F36"/>
    <w:rsid w:val="009D3078"/>
    <w:rsid w:val="009D3236"/>
    <w:rsid w:val="009D32A2"/>
    <w:rsid w:val="009D398B"/>
    <w:rsid w:val="009D3C50"/>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A58"/>
    <w:rsid w:val="009D7D83"/>
    <w:rsid w:val="009E01FF"/>
    <w:rsid w:val="009E03EA"/>
    <w:rsid w:val="009E067B"/>
    <w:rsid w:val="009E0AAD"/>
    <w:rsid w:val="009E0AC7"/>
    <w:rsid w:val="009E0CCC"/>
    <w:rsid w:val="009E0E34"/>
    <w:rsid w:val="009E1027"/>
    <w:rsid w:val="009E126E"/>
    <w:rsid w:val="009E1295"/>
    <w:rsid w:val="009E1908"/>
    <w:rsid w:val="009E19C2"/>
    <w:rsid w:val="009E1B7A"/>
    <w:rsid w:val="009E1B85"/>
    <w:rsid w:val="009E2AF5"/>
    <w:rsid w:val="009E2B7A"/>
    <w:rsid w:val="009E2CD6"/>
    <w:rsid w:val="009E304E"/>
    <w:rsid w:val="009E3151"/>
    <w:rsid w:val="009E31ED"/>
    <w:rsid w:val="009E3590"/>
    <w:rsid w:val="009E36BC"/>
    <w:rsid w:val="009E3936"/>
    <w:rsid w:val="009E3D78"/>
    <w:rsid w:val="009E3E5E"/>
    <w:rsid w:val="009E45EA"/>
    <w:rsid w:val="009E4A2D"/>
    <w:rsid w:val="009E50C1"/>
    <w:rsid w:val="009E51DE"/>
    <w:rsid w:val="009E5369"/>
    <w:rsid w:val="009E53B3"/>
    <w:rsid w:val="009E54FA"/>
    <w:rsid w:val="009E55CA"/>
    <w:rsid w:val="009E5724"/>
    <w:rsid w:val="009E5BA6"/>
    <w:rsid w:val="009E5CAC"/>
    <w:rsid w:val="009E5D70"/>
    <w:rsid w:val="009E61FC"/>
    <w:rsid w:val="009E620E"/>
    <w:rsid w:val="009E6347"/>
    <w:rsid w:val="009E6362"/>
    <w:rsid w:val="009E675C"/>
    <w:rsid w:val="009E70BF"/>
    <w:rsid w:val="009E73C7"/>
    <w:rsid w:val="009E745E"/>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A0"/>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1C0"/>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439"/>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1CD"/>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DC"/>
    <w:rsid w:val="00A04EE2"/>
    <w:rsid w:val="00A050AA"/>
    <w:rsid w:val="00A051F4"/>
    <w:rsid w:val="00A0531F"/>
    <w:rsid w:val="00A054A4"/>
    <w:rsid w:val="00A054BC"/>
    <w:rsid w:val="00A0569B"/>
    <w:rsid w:val="00A056E5"/>
    <w:rsid w:val="00A05716"/>
    <w:rsid w:val="00A05A38"/>
    <w:rsid w:val="00A05AF6"/>
    <w:rsid w:val="00A05BD0"/>
    <w:rsid w:val="00A05C79"/>
    <w:rsid w:val="00A05D08"/>
    <w:rsid w:val="00A06442"/>
    <w:rsid w:val="00A066B0"/>
    <w:rsid w:val="00A0673C"/>
    <w:rsid w:val="00A06B63"/>
    <w:rsid w:val="00A06D57"/>
    <w:rsid w:val="00A06EE9"/>
    <w:rsid w:val="00A06FDC"/>
    <w:rsid w:val="00A072C3"/>
    <w:rsid w:val="00A073A5"/>
    <w:rsid w:val="00A07434"/>
    <w:rsid w:val="00A07885"/>
    <w:rsid w:val="00A07C10"/>
    <w:rsid w:val="00A100C9"/>
    <w:rsid w:val="00A10124"/>
    <w:rsid w:val="00A10351"/>
    <w:rsid w:val="00A10416"/>
    <w:rsid w:val="00A106E3"/>
    <w:rsid w:val="00A1076C"/>
    <w:rsid w:val="00A108EA"/>
    <w:rsid w:val="00A10BB9"/>
    <w:rsid w:val="00A10D37"/>
    <w:rsid w:val="00A10FC7"/>
    <w:rsid w:val="00A11084"/>
    <w:rsid w:val="00A112A9"/>
    <w:rsid w:val="00A112CC"/>
    <w:rsid w:val="00A112E5"/>
    <w:rsid w:val="00A11456"/>
    <w:rsid w:val="00A1146F"/>
    <w:rsid w:val="00A11535"/>
    <w:rsid w:val="00A1156D"/>
    <w:rsid w:val="00A119BC"/>
    <w:rsid w:val="00A11BE6"/>
    <w:rsid w:val="00A11BE8"/>
    <w:rsid w:val="00A12034"/>
    <w:rsid w:val="00A125A8"/>
    <w:rsid w:val="00A12736"/>
    <w:rsid w:val="00A1275E"/>
    <w:rsid w:val="00A1276C"/>
    <w:rsid w:val="00A1280A"/>
    <w:rsid w:val="00A12B00"/>
    <w:rsid w:val="00A12F00"/>
    <w:rsid w:val="00A132B6"/>
    <w:rsid w:val="00A13506"/>
    <w:rsid w:val="00A13E62"/>
    <w:rsid w:val="00A13FB6"/>
    <w:rsid w:val="00A143FD"/>
    <w:rsid w:val="00A146B9"/>
    <w:rsid w:val="00A14AB5"/>
    <w:rsid w:val="00A14BA0"/>
    <w:rsid w:val="00A14D3F"/>
    <w:rsid w:val="00A1529C"/>
    <w:rsid w:val="00A15682"/>
    <w:rsid w:val="00A15974"/>
    <w:rsid w:val="00A159A7"/>
    <w:rsid w:val="00A15A59"/>
    <w:rsid w:val="00A15BB0"/>
    <w:rsid w:val="00A15C15"/>
    <w:rsid w:val="00A15F0C"/>
    <w:rsid w:val="00A16051"/>
    <w:rsid w:val="00A1630A"/>
    <w:rsid w:val="00A1681A"/>
    <w:rsid w:val="00A1683D"/>
    <w:rsid w:val="00A1754C"/>
    <w:rsid w:val="00A17709"/>
    <w:rsid w:val="00A1794F"/>
    <w:rsid w:val="00A17D24"/>
    <w:rsid w:val="00A20030"/>
    <w:rsid w:val="00A20104"/>
    <w:rsid w:val="00A2010D"/>
    <w:rsid w:val="00A203BC"/>
    <w:rsid w:val="00A2053D"/>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2FAD"/>
    <w:rsid w:val="00A236CB"/>
    <w:rsid w:val="00A23A6A"/>
    <w:rsid w:val="00A23B91"/>
    <w:rsid w:val="00A24150"/>
    <w:rsid w:val="00A244CC"/>
    <w:rsid w:val="00A24696"/>
    <w:rsid w:val="00A247A6"/>
    <w:rsid w:val="00A24929"/>
    <w:rsid w:val="00A24DC1"/>
    <w:rsid w:val="00A254A2"/>
    <w:rsid w:val="00A254CA"/>
    <w:rsid w:val="00A254DE"/>
    <w:rsid w:val="00A256DD"/>
    <w:rsid w:val="00A256F9"/>
    <w:rsid w:val="00A257B7"/>
    <w:rsid w:val="00A25862"/>
    <w:rsid w:val="00A25A7B"/>
    <w:rsid w:val="00A25B96"/>
    <w:rsid w:val="00A25E77"/>
    <w:rsid w:val="00A25EF7"/>
    <w:rsid w:val="00A2614E"/>
    <w:rsid w:val="00A2674D"/>
    <w:rsid w:val="00A2679F"/>
    <w:rsid w:val="00A26800"/>
    <w:rsid w:val="00A269FC"/>
    <w:rsid w:val="00A26C9E"/>
    <w:rsid w:val="00A26CDE"/>
    <w:rsid w:val="00A26F9D"/>
    <w:rsid w:val="00A2713E"/>
    <w:rsid w:val="00A2738B"/>
    <w:rsid w:val="00A2778E"/>
    <w:rsid w:val="00A279AF"/>
    <w:rsid w:val="00A279B5"/>
    <w:rsid w:val="00A279C1"/>
    <w:rsid w:val="00A27B06"/>
    <w:rsid w:val="00A27B4B"/>
    <w:rsid w:val="00A27C4A"/>
    <w:rsid w:val="00A27C52"/>
    <w:rsid w:val="00A27D06"/>
    <w:rsid w:val="00A30247"/>
    <w:rsid w:val="00A303E2"/>
    <w:rsid w:val="00A3050B"/>
    <w:rsid w:val="00A30677"/>
    <w:rsid w:val="00A30C04"/>
    <w:rsid w:val="00A30DBE"/>
    <w:rsid w:val="00A3105A"/>
    <w:rsid w:val="00A312C7"/>
    <w:rsid w:val="00A313D8"/>
    <w:rsid w:val="00A315F7"/>
    <w:rsid w:val="00A31658"/>
    <w:rsid w:val="00A316C0"/>
    <w:rsid w:val="00A31ACE"/>
    <w:rsid w:val="00A31AE8"/>
    <w:rsid w:val="00A31AF1"/>
    <w:rsid w:val="00A31C30"/>
    <w:rsid w:val="00A31DED"/>
    <w:rsid w:val="00A31E5C"/>
    <w:rsid w:val="00A31E9B"/>
    <w:rsid w:val="00A320E0"/>
    <w:rsid w:val="00A32172"/>
    <w:rsid w:val="00A3222D"/>
    <w:rsid w:val="00A325A4"/>
    <w:rsid w:val="00A325B3"/>
    <w:rsid w:val="00A32706"/>
    <w:rsid w:val="00A327B7"/>
    <w:rsid w:val="00A329CC"/>
    <w:rsid w:val="00A32A02"/>
    <w:rsid w:val="00A32B53"/>
    <w:rsid w:val="00A32B85"/>
    <w:rsid w:val="00A32C71"/>
    <w:rsid w:val="00A32DE3"/>
    <w:rsid w:val="00A3333F"/>
    <w:rsid w:val="00A334BB"/>
    <w:rsid w:val="00A33683"/>
    <w:rsid w:val="00A338A7"/>
    <w:rsid w:val="00A33CAE"/>
    <w:rsid w:val="00A33CD6"/>
    <w:rsid w:val="00A33E68"/>
    <w:rsid w:val="00A340CA"/>
    <w:rsid w:val="00A34337"/>
    <w:rsid w:val="00A3452F"/>
    <w:rsid w:val="00A34E6C"/>
    <w:rsid w:val="00A353A1"/>
    <w:rsid w:val="00A354CE"/>
    <w:rsid w:val="00A355DF"/>
    <w:rsid w:val="00A35610"/>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B80"/>
    <w:rsid w:val="00A40C20"/>
    <w:rsid w:val="00A40CFF"/>
    <w:rsid w:val="00A4107E"/>
    <w:rsid w:val="00A41153"/>
    <w:rsid w:val="00A416A1"/>
    <w:rsid w:val="00A41718"/>
    <w:rsid w:val="00A419D6"/>
    <w:rsid w:val="00A41F70"/>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54D"/>
    <w:rsid w:val="00A45795"/>
    <w:rsid w:val="00A45A5F"/>
    <w:rsid w:val="00A45C54"/>
    <w:rsid w:val="00A46458"/>
    <w:rsid w:val="00A464D0"/>
    <w:rsid w:val="00A464FF"/>
    <w:rsid w:val="00A46943"/>
    <w:rsid w:val="00A46A04"/>
    <w:rsid w:val="00A46CF9"/>
    <w:rsid w:val="00A46F81"/>
    <w:rsid w:val="00A4725A"/>
    <w:rsid w:val="00A47435"/>
    <w:rsid w:val="00A475C0"/>
    <w:rsid w:val="00A47678"/>
    <w:rsid w:val="00A477DD"/>
    <w:rsid w:val="00A478F1"/>
    <w:rsid w:val="00A4798A"/>
    <w:rsid w:val="00A47AD5"/>
    <w:rsid w:val="00A47BE9"/>
    <w:rsid w:val="00A47BF2"/>
    <w:rsid w:val="00A47C6B"/>
    <w:rsid w:val="00A500EF"/>
    <w:rsid w:val="00A50241"/>
    <w:rsid w:val="00A5029C"/>
    <w:rsid w:val="00A502BC"/>
    <w:rsid w:val="00A50491"/>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4F"/>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34"/>
    <w:rsid w:val="00A53BAA"/>
    <w:rsid w:val="00A53D14"/>
    <w:rsid w:val="00A53EDA"/>
    <w:rsid w:val="00A54192"/>
    <w:rsid w:val="00A542D4"/>
    <w:rsid w:val="00A54362"/>
    <w:rsid w:val="00A54392"/>
    <w:rsid w:val="00A5440A"/>
    <w:rsid w:val="00A54794"/>
    <w:rsid w:val="00A547E5"/>
    <w:rsid w:val="00A54897"/>
    <w:rsid w:val="00A54B46"/>
    <w:rsid w:val="00A54BF3"/>
    <w:rsid w:val="00A54C0A"/>
    <w:rsid w:val="00A54DAA"/>
    <w:rsid w:val="00A54F67"/>
    <w:rsid w:val="00A551BE"/>
    <w:rsid w:val="00A552DB"/>
    <w:rsid w:val="00A5537E"/>
    <w:rsid w:val="00A553D3"/>
    <w:rsid w:val="00A55549"/>
    <w:rsid w:val="00A55569"/>
    <w:rsid w:val="00A55585"/>
    <w:rsid w:val="00A55634"/>
    <w:rsid w:val="00A55913"/>
    <w:rsid w:val="00A55C47"/>
    <w:rsid w:val="00A55D54"/>
    <w:rsid w:val="00A561BE"/>
    <w:rsid w:val="00A5628E"/>
    <w:rsid w:val="00A56371"/>
    <w:rsid w:val="00A567E9"/>
    <w:rsid w:val="00A56822"/>
    <w:rsid w:val="00A56A8B"/>
    <w:rsid w:val="00A56CF2"/>
    <w:rsid w:val="00A571B3"/>
    <w:rsid w:val="00A5746B"/>
    <w:rsid w:val="00A57B85"/>
    <w:rsid w:val="00A57BD8"/>
    <w:rsid w:val="00A57C36"/>
    <w:rsid w:val="00A57F03"/>
    <w:rsid w:val="00A57F3F"/>
    <w:rsid w:val="00A60089"/>
    <w:rsid w:val="00A607A8"/>
    <w:rsid w:val="00A60AA8"/>
    <w:rsid w:val="00A61306"/>
    <w:rsid w:val="00A614E0"/>
    <w:rsid w:val="00A61838"/>
    <w:rsid w:val="00A61893"/>
    <w:rsid w:val="00A618E2"/>
    <w:rsid w:val="00A61952"/>
    <w:rsid w:val="00A61A20"/>
    <w:rsid w:val="00A61F7B"/>
    <w:rsid w:val="00A61FA2"/>
    <w:rsid w:val="00A6210E"/>
    <w:rsid w:val="00A62662"/>
    <w:rsid w:val="00A62C2F"/>
    <w:rsid w:val="00A62EA9"/>
    <w:rsid w:val="00A63147"/>
    <w:rsid w:val="00A63150"/>
    <w:rsid w:val="00A63336"/>
    <w:rsid w:val="00A634BC"/>
    <w:rsid w:val="00A63612"/>
    <w:rsid w:val="00A6361B"/>
    <w:rsid w:val="00A6374A"/>
    <w:rsid w:val="00A63F06"/>
    <w:rsid w:val="00A64206"/>
    <w:rsid w:val="00A642CC"/>
    <w:rsid w:val="00A64395"/>
    <w:rsid w:val="00A64550"/>
    <w:rsid w:val="00A645B0"/>
    <w:rsid w:val="00A645C4"/>
    <w:rsid w:val="00A6475D"/>
    <w:rsid w:val="00A6477F"/>
    <w:rsid w:val="00A64885"/>
    <w:rsid w:val="00A64DDF"/>
    <w:rsid w:val="00A64F66"/>
    <w:rsid w:val="00A65172"/>
    <w:rsid w:val="00A651BF"/>
    <w:rsid w:val="00A6535E"/>
    <w:rsid w:val="00A653B9"/>
    <w:rsid w:val="00A6590C"/>
    <w:rsid w:val="00A659F7"/>
    <w:rsid w:val="00A65D70"/>
    <w:rsid w:val="00A65ED3"/>
    <w:rsid w:val="00A660F7"/>
    <w:rsid w:val="00A662BB"/>
    <w:rsid w:val="00A665EF"/>
    <w:rsid w:val="00A6672B"/>
    <w:rsid w:val="00A66802"/>
    <w:rsid w:val="00A66957"/>
    <w:rsid w:val="00A66973"/>
    <w:rsid w:val="00A66AB6"/>
    <w:rsid w:val="00A66B5F"/>
    <w:rsid w:val="00A66C40"/>
    <w:rsid w:val="00A670A2"/>
    <w:rsid w:val="00A670D6"/>
    <w:rsid w:val="00A671C1"/>
    <w:rsid w:val="00A671DF"/>
    <w:rsid w:val="00A672AA"/>
    <w:rsid w:val="00A6730A"/>
    <w:rsid w:val="00A67503"/>
    <w:rsid w:val="00A679A6"/>
    <w:rsid w:val="00A679D5"/>
    <w:rsid w:val="00A7003D"/>
    <w:rsid w:val="00A70051"/>
    <w:rsid w:val="00A70243"/>
    <w:rsid w:val="00A70254"/>
    <w:rsid w:val="00A70388"/>
    <w:rsid w:val="00A70417"/>
    <w:rsid w:val="00A70457"/>
    <w:rsid w:val="00A7048E"/>
    <w:rsid w:val="00A7070D"/>
    <w:rsid w:val="00A708DB"/>
    <w:rsid w:val="00A70AED"/>
    <w:rsid w:val="00A70C52"/>
    <w:rsid w:val="00A70C66"/>
    <w:rsid w:val="00A70CC6"/>
    <w:rsid w:val="00A70CFC"/>
    <w:rsid w:val="00A70D38"/>
    <w:rsid w:val="00A71128"/>
    <w:rsid w:val="00A71219"/>
    <w:rsid w:val="00A714CD"/>
    <w:rsid w:val="00A71562"/>
    <w:rsid w:val="00A718F3"/>
    <w:rsid w:val="00A71AD1"/>
    <w:rsid w:val="00A71C6C"/>
    <w:rsid w:val="00A724CA"/>
    <w:rsid w:val="00A7263B"/>
    <w:rsid w:val="00A72734"/>
    <w:rsid w:val="00A72958"/>
    <w:rsid w:val="00A72D4B"/>
    <w:rsid w:val="00A72EC9"/>
    <w:rsid w:val="00A730D2"/>
    <w:rsid w:val="00A730FF"/>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F8D"/>
    <w:rsid w:val="00A75287"/>
    <w:rsid w:val="00A752F0"/>
    <w:rsid w:val="00A754B6"/>
    <w:rsid w:val="00A75504"/>
    <w:rsid w:val="00A75594"/>
    <w:rsid w:val="00A7582E"/>
    <w:rsid w:val="00A7599D"/>
    <w:rsid w:val="00A75A45"/>
    <w:rsid w:val="00A75B6B"/>
    <w:rsid w:val="00A75C7F"/>
    <w:rsid w:val="00A75F17"/>
    <w:rsid w:val="00A75FC1"/>
    <w:rsid w:val="00A7602D"/>
    <w:rsid w:val="00A76047"/>
    <w:rsid w:val="00A76236"/>
    <w:rsid w:val="00A765AD"/>
    <w:rsid w:val="00A76686"/>
    <w:rsid w:val="00A766F7"/>
    <w:rsid w:val="00A76A03"/>
    <w:rsid w:val="00A76CB3"/>
    <w:rsid w:val="00A76ED2"/>
    <w:rsid w:val="00A76EF5"/>
    <w:rsid w:val="00A77205"/>
    <w:rsid w:val="00A7733B"/>
    <w:rsid w:val="00A7739E"/>
    <w:rsid w:val="00A7747D"/>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58"/>
    <w:rsid w:val="00A81B5C"/>
    <w:rsid w:val="00A81BFA"/>
    <w:rsid w:val="00A81F50"/>
    <w:rsid w:val="00A81FD0"/>
    <w:rsid w:val="00A8200A"/>
    <w:rsid w:val="00A82049"/>
    <w:rsid w:val="00A826B0"/>
    <w:rsid w:val="00A826E5"/>
    <w:rsid w:val="00A8273B"/>
    <w:rsid w:val="00A827A2"/>
    <w:rsid w:val="00A827F3"/>
    <w:rsid w:val="00A82912"/>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5C14"/>
    <w:rsid w:val="00A86057"/>
    <w:rsid w:val="00A863C5"/>
    <w:rsid w:val="00A8648F"/>
    <w:rsid w:val="00A8669D"/>
    <w:rsid w:val="00A87010"/>
    <w:rsid w:val="00A873B4"/>
    <w:rsid w:val="00A87849"/>
    <w:rsid w:val="00A87894"/>
    <w:rsid w:val="00A87A71"/>
    <w:rsid w:val="00A87BD5"/>
    <w:rsid w:val="00A87F9E"/>
    <w:rsid w:val="00A9002D"/>
    <w:rsid w:val="00A90106"/>
    <w:rsid w:val="00A9016A"/>
    <w:rsid w:val="00A90394"/>
    <w:rsid w:val="00A90844"/>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E8"/>
    <w:rsid w:val="00A928F6"/>
    <w:rsid w:val="00A92A20"/>
    <w:rsid w:val="00A92CF8"/>
    <w:rsid w:val="00A92DC5"/>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9A6"/>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9B3"/>
    <w:rsid w:val="00A96A64"/>
    <w:rsid w:val="00A96E78"/>
    <w:rsid w:val="00A96EF4"/>
    <w:rsid w:val="00A96FCD"/>
    <w:rsid w:val="00A972DD"/>
    <w:rsid w:val="00A97602"/>
    <w:rsid w:val="00A97745"/>
    <w:rsid w:val="00A9779D"/>
    <w:rsid w:val="00A97811"/>
    <w:rsid w:val="00A97B2F"/>
    <w:rsid w:val="00A97C20"/>
    <w:rsid w:val="00A97D91"/>
    <w:rsid w:val="00AA08D9"/>
    <w:rsid w:val="00AA098D"/>
    <w:rsid w:val="00AA0A31"/>
    <w:rsid w:val="00AA0E31"/>
    <w:rsid w:val="00AA0E80"/>
    <w:rsid w:val="00AA1116"/>
    <w:rsid w:val="00AA1353"/>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2C9"/>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9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0D7"/>
    <w:rsid w:val="00AB114C"/>
    <w:rsid w:val="00AB125A"/>
    <w:rsid w:val="00AB139F"/>
    <w:rsid w:val="00AB149E"/>
    <w:rsid w:val="00AB172F"/>
    <w:rsid w:val="00AB1823"/>
    <w:rsid w:val="00AB19E8"/>
    <w:rsid w:val="00AB1E2C"/>
    <w:rsid w:val="00AB1EFA"/>
    <w:rsid w:val="00AB221B"/>
    <w:rsid w:val="00AB228D"/>
    <w:rsid w:val="00AB2796"/>
    <w:rsid w:val="00AB28FE"/>
    <w:rsid w:val="00AB29A8"/>
    <w:rsid w:val="00AB29CF"/>
    <w:rsid w:val="00AB2E18"/>
    <w:rsid w:val="00AB31CC"/>
    <w:rsid w:val="00AB3251"/>
    <w:rsid w:val="00AB3328"/>
    <w:rsid w:val="00AB3681"/>
    <w:rsid w:val="00AB3CA8"/>
    <w:rsid w:val="00AB3D99"/>
    <w:rsid w:val="00AB3EA4"/>
    <w:rsid w:val="00AB3F11"/>
    <w:rsid w:val="00AB4202"/>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54"/>
    <w:rsid w:val="00AB6FDE"/>
    <w:rsid w:val="00AB704D"/>
    <w:rsid w:val="00AB7227"/>
    <w:rsid w:val="00AB7457"/>
    <w:rsid w:val="00AB7783"/>
    <w:rsid w:val="00AB7BF9"/>
    <w:rsid w:val="00AC0035"/>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901"/>
    <w:rsid w:val="00AC2D1E"/>
    <w:rsid w:val="00AC2DCD"/>
    <w:rsid w:val="00AC30C7"/>
    <w:rsid w:val="00AC318F"/>
    <w:rsid w:val="00AC342D"/>
    <w:rsid w:val="00AC347A"/>
    <w:rsid w:val="00AC3C6B"/>
    <w:rsid w:val="00AC3CBA"/>
    <w:rsid w:val="00AC3CCD"/>
    <w:rsid w:val="00AC3E38"/>
    <w:rsid w:val="00AC3F74"/>
    <w:rsid w:val="00AC4153"/>
    <w:rsid w:val="00AC4311"/>
    <w:rsid w:val="00AC4491"/>
    <w:rsid w:val="00AC4653"/>
    <w:rsid w:val="00AC48A2"/>
    <w:rsid w:val="00AC4BE7"/>
    <w:rsid w:val="00AC4D6C"/>
    <w:rsid w:val="00AC531B"/>
    <w:rsid w:val="00AC5356"/>
    <w:rsid w:val="00AC5367"/>
    <w:rsid w:val="00AC53D3"/>
    <w:rsid w:val="00AC54F5"/>
    <w:rsid w:val="00AC5741"/>
    <w:rsid w:val="00AC5818"/>
    <w:rsid w:val="00AC59C0"/>
    <w:rsid w:val="00AC5BBB"/>
    <w:rsid w:val="00AC5CF4"/>
    <w:rsid w:val="00AC5E16"/>
    <w:rsid w:val="00AC67C1"/>
    <w:rsid w:val="00AC69A6"/>
    <w:rsid w:val="00AC6DD5"/>
    <w:rsid w:val="00AC6E02"/>
    <w:rsid w:val="00AC6E54"/>
    <w:rsid w:val="00AC6EA4"/>
    <w:rsid w:val="00AC70B8"/>
    <w:rsid w:val="00AC712E"/>
    <w:rsid w:val="00AC73B4"/>
    <w:rsid w:val="00AC73BB"/>
    <w:rsid w:val="00AC749D"/>
    <w:rsid w:val="00AC7677"/>
    <w:rsid w:val="00AC7695"/>
    <w:rsid w:val="00AC7803"/>
    <w:rsid w:val="00AC7942"/>
    <w:rsid w:val="00AC7B06"/>
    <w:rsid w:val="00AC7B2E"/>
    <w:rsid w:val="00AD008E"/>
    <w:rsid w:val="00AD01E3"/>
    <w:rsid w:val="00AD04D2"/>
    <w:rsid w:val="00AD0543"/>
    <w:rsid w:val="00AD0589"/>
    <w:rsid w:val="00AD0642"/>
    <w:rsid w:val="00AD094E"/>
    <w:rsid w:val="00AD0C50"/>
    <w:rsid w:val="00AD0CF0"/>
    <w:rsid w:val="00AD0CF4"/>
    <w:rsid w:val="00AD0E0D"/>
    <w:rsid w:val="00AD0E10"/>
    <w:rsid w:val="00AD1156"/>
    <w:rsid w:val="00AD1354"/>
    <w:rsid w:val="00AD15D1"/>
    <w:rsid w:val="00AD1783"/>
    <w:rsid w:val="00AD195C"/>
    <w:rsid w:val="00AD1D50"/>
    <w:rsid w:val="00AD2264"/>
    <w:rsid w:val="00AD28B0"/>
    <w:rsid w:val="00AD28B4"/>
    <w:rsid w:val="00AD2926"/>
    <w:rsid w:val="00AD2A87"/>
    <w:rsid w:val="00AD2AC6"/>
    <w:rsid w:val="00AD2C01"/>
    <w:rsid w:val="00AD2C29"/>
    <w:rsid w:val="00AD2E68"/>
    <w:rsid w:val="00AD2EA8"/>
    <w:rsid w:val="00AD2F42"/>
    <w:rsid w:val="00AD31F8"/>
    <w:rsid w:val="00AD3A86"/>
    <w:rsid w:val="00AD3F0E"/>
    <w:rsid w:val="00AD4078"/>
    <w:rsid w:val="00AD4269"/>
    <w:rsid w:val="00AD4312"/>
    <w:rsid w:val="00AD4364"/>
    <w:rsid w:val="00AD4645"/>
    <w:rsid w:val="00AD4A0B"/>
    <w:rsid w:val="00AD4BE6"/>
    <w:rsid w:val="00AD4E61"/>
    <w:rsid w:val="00AD5302"/>
    <w:rsid w:val="00AD5A38"/>
    <w:rsid w:val="00AD6179"/>
    <w:rsid w:val="00AD62F6"/>
    <w:rsid w:val="00AD6420"/>
    <w:rsid w:val="00AD68C7"/>
    <w:rsid w:val="00AD6AD9"/>
    <w:rsid w:val="00AD6BC4"/>
    <w:rsid w:val="00AD6CBF"/>
    <w:rsid w:val="00AD6D02"/>
    <w:rsid w:val="00AD7450"/>
    <w:rsid w:val="00AD75CB"/>
    <w:rsid w:val="00AD7988"/>
    <w:rsid w:val="00AD7AD4"/>
    <w:rsid w:val="00AD7B55"/>
    <w:rsid w:val="00AD7B61"/>
    <w:rsid w:val="00AD7E4C"/>
    <w:rsid w:val="00AE0147"/>
    <w:rsid w:val="00AE03BB"/>
    <w:rsid w:val="00AE09F6"/>
    <w:rsid w:val="00AE0A17"/>
    <w:rsid w:val="00AE0BB3"/>
    <w:rsid w:val="00AE0C39"/>
    <w:rsid w:val="00AE0C60"/>
    <w:rsid w:val="00AE0D08"/>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969"/>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3D8"/>
    <w:rsid w:val="00AE7610"/>
    <w:rsid w:val="00AE7893"/>
    <w:rsid w:val="00AE79C0"/>
    <w:rsid w:val="00AE79D2"/>
    <w:rsid w:val="00AE7EC9"/>
    <w:rsid w:val="00AE7F05"/>
    <w:rsid w:val="00AF0074"/>
    <w:rsid w:val="00AF00BA"/>
    <w:rsid w:val="00AF04D7"/>
    <w:rsid w:val="00AF05B1"/>
    <w:rsid w:val="00AF0A3D"/>
    <w:rsid w:val="00AF0CF6"/>
    <w:rsid w:val="00AF0D9C"/>
    <w:rsid w:val="00AF10FE"/>
    <w:rsid w:val="00AF1384"/>
    <w:rsid w:val="00AF15DD"/>
    <w:rsid w:val="00AF1660"/>
    <w:rsid w:val="00AF1689"/>
    <w:rsid w:val="00AF199D"/>
    <w:rsid w:val="00AF1C7C"/>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6A"/>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76"/>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D22"/>
    <w:rsid w:val="00B01EC0"/>
    <w:rsid w:val="00B0203F"/>
    <w:rsid w:val="00B02119"/>
    <w:rsid w:val="00B023A6"/>
    <w:rsid w:val="00B025F8"/>
    <w:rsid w:val="00B028BC"/>
    <w:rsid w:val="00B0301B"/>
    <w:rsid w:val="00B03438"/>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4AE"/>
    <w:rsid w:val="00B077AD"/>
    <w:rsid w:val="00B0785E"/>
    <w:rsid w:val="00B078D6"/>
    <w:rsid w:val="00B07932"/>
    <w:rsid w:val="00B07AC8"/>
    <w:rsid w:val="00B07AEB"/>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B5D"/>
    <w:rsid w:val="00B14EA5"/>
    <w:rsid w:val="00B15461"/>
    <w:rsid w:val="00B15542"/>
    <w:rsid w:val="00B156B3"/>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168"/>
    <w:rsid w:val="00B17340"/>
    <w:rsid w:val="00B17519"/>
    <w:rsid w:val="00B1765D"/>
    <w:rsid w:val="00B1766E"/>
    <w:rsid w:val="00B177A3"/>
    <w:rsid w:val="00B177E7"/>
    <w:rsid w:val="00B178C1"/>
    <w:rsid w:val="00B17D30"/>
    <w:rsid w:val="00B2013E"/>
    <w:rsid w:val="00B2030D"/>
    <w:rsid w:val="00B20392"/>
    <w:rsid w:val="00B2039E"/>
    <w:rsid w:val="00B20400"/>
    <w:rsid w:val="00B20576"/>
    <w:rsid w:val="00B206D2"/>
    <w:rsid w:val="00B208C5"/>
    <w:rsid w:val="00B20934"/>
    <w:rsid w:val="00B20AB5"/>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4E"/>
    <w:rsid w:val="00B313E6"/>
    <w:rsid w:val="00B31680"/>
    <w:rsid w:val="00B31747"/>
    <w:rsid w:val="00B31B8E"/>
    <w:rsid w:val="00B31C8B"/>
    <w:rsid w:val="00B31EB2"/>
    <w:rsid w:val="00B32605"/>
    <w:rsid w:val="00B32655"/>
    <w:rsid w:val="00B3271F"/>
    <w:rsid w:val="00B32E41"/>
    <w:rsid w:val="00B32E50"/>
    <w:rsid w:val="00B32F90"/>
    <w:rsid w:val="00B3303D"/>
    <w:rsid w:val="00B3334C"/>
    <w:rsid w:val="00B3353E"/>
    <w:rsid w:val="00B33CE3"/>
    <w:rsid w:val="00B3464F"/>
    <w:rsid w:val="00B34691"/>
    <w:rsid w:val="00B348A7"/>
    <w:rsid w:val="00B349D3"/>
    <w:rsid w:val="00B34F07"/>
    <w:rsid w:val="00B3504C"/>
    <w:rsid w:val="00B350F7"/>
    <w:rsid w:val="00B352FC"/>
    <w:rsid w:val="00B3533F"/>
    <w:rsid w:val="00B354BD"/>
    <w:rsid w:val="00B35565"/>
    <w:rsid w:val="00B363E6"/>
    <w:rsid w:val="00B3660C"/>
    <w:rsid w:val="00B368EE"/>
    <w:rsid w:val="00B36BCA"/>
    <w:rsid w:val="00B36E7F"/>
    <w:rsid w:val="00B36FC2"/>
    <w:rsid w:val="00B36FF9"/>
    <w:rsid w:val="00B372A9"/>
    <w:rsid w:val="00B37A6B"/>
    <w:rsid w:val="00B37A84"/>
    <w:rsid w:val="00B37AC1"/>
    <w:rsid w:val="00B37C61"/>
    <w:rsid w:val="00B37CD9"/>
    <w:rsid w:val="00B40082"/>
    <w:rsid w:val="00B400FB"/>
    <w:rsid w:val="00B403F5"/>
    <w:rsid w:val="00B4085B"/>
    <w:rsid w:val="00B40997"/>
    <w:rsid w:val="00B409AB"/>
    <w:rsid w:val="00B40B88"/>
    <w:rsid w:val="00B41045"/>
    <w:rsid w:val="00B41259"/>
    <w:rsid w:val="00B41295"/>
    <w:rsid w:val="00B41299"/>
    <w:rsid w:val="00B417CF"/>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B57"/>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D1"/>
    <w:rsid w:val="00B478E2"/>
    <w:rsid w:val="00B47996"/>
    <w:rsid w:val="00B47E0D"/>
    <w:rsid w:val="00B50034"/>
    <w:rsid w:val="00B50177"/>
    <w:rsid w:val="00B502FF"/>
    <w:rsid w:val="00B5057F"/>
    <w:rsid w:val="00B506B4"/>
    <w:rsid w:val="00B506BC"/>
    <w:rsid w:val="00B50BDB"/>
    <w:rsid w:val="00B50CE2"/>
    <w:rsid w:val="00B50E3A"/>
    <w:rsid w:val="00B510B2"/>
    <w:rsid w:val="00B512D4"/>
    <w:rsid w:val="00B514B5"/>
    <w:rsid w:val="00B51693"/>
    <w:rsid w:val="00B516FB"/>
    <w:rsid w:val="00B519FF"/>
    <w:rsid w:val="00B51AFE"/>
    <w:rsid w:val="00B51BEB"/>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4C"/>
    <w:rsid w:val="00B53B7E"/>
    <w:rsid w:val="00B53E4E"/>
    <w:rsid w:val="00B53F55"/>
    <w:rsid w:val="00B53F66"/>
    <w:rsid w:val="00B541CB"/>
    <w:rsid w:val="00B5432B"/>
    <w:rsid w:val="00B5437D"/>
    <w:rsid w:val="00B54380"/>
    <w:rsid w:val="00B54731"/>
    <w:rsid w:val="00B54E11"/>
    <w:rsid w:val="00B54F8A"/>
    <w:rsid w:val="00B55146"/>
    <w:rsid w:val="00B5522A"/>
    <w:rsid w:val="00B552DF"/>
    <w:rsid w:val="00B55400"/>
    <w:rsid w:val="00B5544F"/>
    <w:rsid w:val="00B5560F"/>
    <w:rsid w:val="00B55809"/>
    <w:rsid w:val="00B55817"/>
    <w:rsid w:val="00B558E6"/>
    <w:rsid w:val="00B55A22"/>
    <w:rsid w:val="00B55B61"/>
    <w:rsid w:val="00B55C1A"/>
    <w:rsid w:val="00B55E61"/>
    <w:rsid w:val="00B56803"/>
    <w:rsid w:val="00B56DFF"/>
    <w:rsid w:val="00B56FBC"/>
    <w:rsid w:val="00B5774D"/>
    <w:rsid w:val="00B578A8"/>
    <w:rsid w:val="00B578D3"/>
    <w:rsid w:val="00B57D67"/>
    <w:rsid w:val="00B57EA1"/>
    <w:rsid w:val="00B57F53"/>
    <w:rsid w:val="00B600CE"/>
    <w:rsid w:val="00B60294"/>
    <w:rsid w:val="00B6038E"/>
    <w:rsid w:val="00B60526"/>
    <w:rsid w:val="00B60889"/>
    <w:rsid w:val="00B60937"/>
    <w:rsid w:val="00B6098A"/>
    <w:rsid w:val="00B60B95"/>
    <w:rsid w:val="00B60CC6"/>
    <w:rsid w:val="00B60FBF"/>
    <w:rsid w:val="00B60FE5"/>
    <w:rsid w:val="00B610FF"/>
    <w:rsid w:val="00B61120"/>
    <w:rsid w:val="00B61307"/>
    <w:rsid w:val="00B6140D"/>
    <w:rsid w:val="00B615F7"/>
    <w:rsid w:val="00B617E4"/>
    <w:rsid w:val="00B61B4A"/>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1E"/>
    <w:rsid w:val="00B65101"/>
    <w:rsid w:val="00B65295"/>
    <w:rsid w:val="00B6535C"/>
    <w:rsid w:val="00B6570B"/>
    <w:rsid w:val="00B65B85"/>
    <w:rsid w:val="00B65CA2"/>
    <w:rsid w:val="00B65D7B"/>
    <w:rsid w:val="00B66141"/>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8B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A92"/>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729"/>
    <w:rsid w:val="00B7498F"/>
    <w:rsid w:val="00B74ABE"/>
    <w:rsid w:val="00B74B83"/>
    <w:rsid w:val="00B74D58"/>
    <w:rsid w:val="00B74D77"/>
    <w:rsid w:val="00B750C7"/>
    <w:rsid w:val="00B75195"/>
    <w:rsid w:val="00B751F9"/>
    <w:rsid w:val="00B755C2"/>
    <w:rsid w:val="00B759BD"/>
    <w:rsid w:val="00B75C59"/>
    <w:rsid w:val="00B760B6"/>
    <w:rsid w:val="00B76301"/>
    <w:rsid w:val="00B765DF"/>
    <w:rsid w:val="00B766A5"/>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7FB"/>
    <w:rsid w:val="00B80940"/>
    <w:rsid w:val="00B80C6F"/>
    <w:rsid w:val="00B80D84"/>
    <w:rsid w:val="00B80D99"/>
    <w:rsid w:val="00B815B7"/>
    <w:rsid w:val="00B8162A"/>
    <w:rsid w:val="00B81694"/>
    <w:rsid w:val="00B816F2"/>
    <w:rsid w:val="00B817D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78F"/>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2DD"/>
    <w:rsid w:val="00B87607"/>
    <w:rsid w:val="00B8771D"/>
    <w:rsid w:val="00B87726"/>
    <w:rsid w:val="00B877AE"/>
    <w:rsid w:val="00B87800"/>
    <w:rsid w:val="00B878E5"/>
    <w:rsid w:val="00B879B5"/>
    <w:rsid w:val="00B903D4"/>
    <w:rsid w:val="00B904AF"/>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1EC5"/>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BF"/>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4FA"/>
    <w:rsid w:val="00B9655D"/>
    <w:rsid w:val="00B9666A"/>
    <w:rsid w:val="00B9675A"/>
    <w:rsid w:val="00B96CD4"/>
    <w:rsid w:val="00B96D31"/>
    <w:rsid w:val="00B96E42"/>
    <w:rsid w:val="00B97150"/>
    <w:rsid w:val="00B971F0"/>
    <w:rsid w:val="00B97512"/>
    <w:rsid w:val="00B9752A"/>
    <w:rsid w:val="00B97640"/>
    <w:rsid w:val="00B97706"/>
    <w:rsid w:val="00B978DD"/>
    <w:rsid w:val="00B97A60"/>
    <w:rsid w:val="00B97DF4"/>
    <w:rsid w:val="00B97E81"/>
    <w:rsid w:val="00BA02CC"/>
    <w:rsid w:val="00BA0316"/>
    <w:rsid w:val="00BA059E"/>
    <w:rsid w:val="00BA0603"/>
    <w:rsid w:val="00BA073C"/>
    <w:rsid w:val="00BA086F"/>
    <w:rsid w:val="00BA0A0B"/>
    <w:rsid w:val="00BA0BDE"/>
    <w:rsid w:val="00BA0BE2"/>
    <w:rsid w:val="00BA0E23"/>
    <w:rsid w:val="00BA0E45"/>
    <w:rsid w:val="00BA0F24"/>
    <w:rsid w:val="00BA1057"/>
    <w:rsid w:val="00BA1075"/>
    <w:rsid w:val="00BA1434"/>
    <w:rsid w:val="00BA166E"/>
    <w:rsid w:val="00BA1E4B"/>
    <w:rsid w:val="00BA20BE"/>
    <w:rsid w:val="00BA20FD"/>
    <w:rsid w:val="00BA27D4"/>
    <w:rsid w:val="00BA2C94"/>
    <w:rsid w:val="00BA3496"/>
    <w:rsid w:val="00BA34ED"/>
    <w:rsid w:val="00BA3512"/>
    <w:rsid w:val="00BA3646"/>
    <w:rsid w:val="00BA3755"/>
    <w:rsid w:val="00BA396E"/>
    <w:rsid w:val="00BA39D4"/>
    <w:rsid w:val="00BA3A00"/>
    <w:rsid w:val="00BA3D51"/>
    <w:rsid w:val="00BA3FF2"/>
    <w:rsid w:val="00BA400B"/>
    <w:rsid w:val="00BA4633"/>
    <w:rsid w:val="00BA4B91"/>
    <w:rsid w:val="00BA4C57"/>
    <w:rsid w:val="00BA4F2F"/>
    <w:rsid w:val="00BA5112"/>
    <w:rsid w:val="00BA538E"/>
    <w:rsid w:val="00BA5507"/>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1E"/>
    <w:rsid w:val="00BB0856"/>
    <w:rsid w:val="00BB097C"/>
    <w:rsid w:val="00BB0AA0"/>
    <w:rsid w:val="00BB0AAB"/>
    <w:rsid w:val="00BB0B8E"/>
    <w:rsid w:val="00BB0D9D"/>
    <w:rsid w:val="00BB105B"/>
    <w:rsid w:val="00BB1291"/>
    <w:rsid w:val="00BB1670"/>
    <w:rsid w:val="00BB2010"/>
    <w:rsid w:val="00BB20F3"/>
    <w:rsid w:val="00BB21BD"/>
    <w:rsid w:val="00BB2353"/>
    <w:rsid w:val="00BB2402"/>
    <w:rsid w:val="00BB2450"/>
    <w:rsid w:val="00BB264A"/>
    <w:rsid w:val="00BB28BF"/>
    <w:rsid w:val="00BB29D0"/>
    <w:rsid w:val="00BB2D08"/>
    <w:rsid w:val="00BB2D90"/>
    <w:rsid w:val="00BB303C"/>
    <w:rsid w:val="00BB3072"/>
    <w:rsid w:val="00BB31A2"/>
    <w:rsid w:val="00BB380F"/>
    <w:rsid w:val="00BB3979"/>
    <w:rsid w:val="00BB39CD"/>
    <w:rsid w:val="00BB3A48"/>
    <w:rsid w:val="00BB3C0E"/>
    <w:rsid w:val="00BB3E51"/>
    <w:rsid w:val="00BB4036"/>
    <w:rsid w:val="00BB43B0"/>
    <w:rsid w:val="00BB4559"/>
    <w:rsid w:val="00BB4653"/>
    <w:rsid w:val="00BB4AB4"/>
    <w:rsid w:val="00BB4F6F"/>
    <w:rsid w:val="00BB4F88"/>
    <w:rsid w:val="00BB5087"/>
    <w:rsid w:val="00BB50F6"/>
    <w:rsid w:val="00BB5248"/>
    <w:rsid w:val="00BB5432"/>
    <w:rsid w:val="00BB5469"/>
    <w:rsid w:val="00BB5516"/>
    <w:rsid w:val="00BB5526"/>
    <w:rsid w:val="00BB55F3"/>
    <w:rsid w:val="00BB5714"/>
    <w:rsid w:val="00BB57F8"/>
    <w:rsid w:val="00BB5823"/>
    <w:rsid w:val="00BB5835"/>
    <w:rsid w:val="00BB5843"/>
    <w:rsid w:val="00BB6066"/>
    <w:rsid w:val="00BB6339"/>
    <w:rsid w:val="00BB637F"/>
    <w:rsid w:val="00BB6837"/>
    <w:rsid w:val="00BB6867"/>
    <w:rsid w:val="00BB6DAC"/>
    <w:rsid w:val="00BB72E6"/>
    <w:rsid w:val="00BB754E"/>
    <w:rsid w:val="00BB763D"/>
    <w:rsid w:val="00BB76C7"/>
    <w:rsid w:val="00BB7848"/>
    <w:rsid w:val="00BB7923"/>
    <w:rsid w:val="00BB7A12"/>
    <w:rsid w:val="00BB7AB2"/>
    <w:rsid w:val="00BB7C28"/>
    <w:rsid w:val="00BB7C75"/>
    <w:rsid w:val="00BB7C9B"/>
    <w:rsid w:val="00BB7E2B"/>
    <w:rsid w:val="00BB7EDE"/>
    <w:rsid w:val="00BB7FCE"/>
    <w:rsid w:val="00BC0060"/>
    <w:rsid w:val="00BC031A"/>
    <w:rsid w:val="00BC0591"/>
    <w:rsid w:val="00BC065D"/>
    <w:rsid w:val="00BC0914"/>
    <w:rsid w:val="00BC0A00"/>
    <w:rsid w:val="00BC0A6B"/>
    <w:rsid w:val="00BC0C46"/>
    <w:rsid w:val="00BC0C7D"/>
    <w:rsid w:val="00BC0C95"/>
    <w:rsid w:val="00BC0D79"/>
    <w:rsid w:val="00BC0E7F"/>
    <w:rsid w:val="00BC13DE"/>
    <w:rsid w:val="00BC16FD"/>
    <w:rsid w:val="00BC171D"/>
    <w:rsid w:val="00BC1C66"/>
    <w:rsid w:val="00BC1C7F"/>
    <w:rsid w:val="00BC1D21"/>
    <w:rsid w:val="00BC1EC9"/>
    <w:rsid w:val="00BC1F3F"/>
    <w:rsid w:val="00BC1F52"/>
    <w:rsid w:val="00BC2880"/>
    <w:rsid w:val="00BC2C07"/>
    <w:rsid w:val="00BC2C17"/>
    <w:rsid w:val="00BC2C2C"/>
    <w:rsid w:val="00BC2D0C"/>
    <w:rsid w:val="00BC3287"/>
    <w:rsid w:val="00BC32CB"/>
    <w:rsid w:val="00BC361B"/>
    <w:rsid w:val="00BC3882"/>
    <w:rsid w:val="00BC3BA4"/>
    <w:rsid w:val="00BC3C36"/>
    <w:rsid w:val="00BC3D54"/>
    <w:rsid w:val="00BC3E5F"/>
    <w:rsid w:val="00BC3F23"/>
    <w:rsid w:val="00BC40CA"/>
    <w:rsid w:val="00BC42C8"/>
    <w:rsid w:val="00BC446D"/>
    <w:rsid w:val="00BC4796"/>
    <w:rsid w:val="00BC48A8"/>
    <w:rsid w:val="00BC4C64"/>
    <w:rsid w:val="00BC4ED1"/>
    <w:rsid w:val="00BC5046"/>
    <w:rsid w:val="00BC5705"/>
    <w:rsid w:val="00BC579B"/>
    <w:rsid w:val="00BC57AF"/>
    <w:rsid w:val="00BC5AF9"/>
    <w:rsid w:val="00BC5BCA"/>
    <w:rsid w:val="00BC5C81"/>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52F"/>
    <w:rsid w:val="00BC76DB"/>
    <w:rsid w:val="00BC76F5"/>
    <w:rsid w:val="00BC7939"/>
    <w:rsid w:val="00BD0106"/>
    <w:rsid w:val="00BD0328"/>
    <w:rsid w:val="00BD0595"/>
    <w:rsid w:val="00BD0665"/>
    <w:rsid w:val="00BD0828"/>
    <w:rsid w:val="00BD08AD"/>
    <w:rsid w:val="00BD0A3D"/>
    <w:rsid w:val="00BD0B38"/>
    <w:rsid w:val="00BD0C2A"/>
    <w:rsid w:val="00BD187E"/>
    <w:rsid w:val="00BD18E7"/>
    <w:rsid w:val="00BD1F29"/>
    <w:rsid w:val="00BD225C"/>
    <w:rsid w:val="00BD23BC"/>
    <w:rsid w:val="00BD243B"/>
    <w:rsid w:val="00BD26AA"/>
    <w:rsid w:val="00BD282A"/>
    <w:rsid w:val="00BD2BE2"/>
    <w:rsid w:val="00BD3299"/>
    <w:rsid w:val="00BD32DF"/>
    <w:rsid w:val="00BD331E"/>
    <w:rsid w:val="00BD354F"/>
    <w:rsid w:val="00BD3680"/>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01"/>
    <w:rsid w:val="00BD6284"/>
    <w:rsid w:val="00BD637C"/>
    <w:rsid w:val="00BD6AF3"/>
    <w:rsid w:val="00BD7587"/>
    <w:rsid w:val="00BD7983"/>
    <w:rsid w:val="00BD7AD5"/>
    <w:rsid w:val="00BD7B08"/>
    <w:rsid w:val="00BD7D6A"/>
    <w:rsid w:val="00BD7E40"/>
    <w:rsid w:val="00BE001E"/>
    <w:rsid w:val="00BE01D4"/>
    <w:rsid w:val="00BE031B"/>
    <w:rsid w:val="00BE0431"/>
    <w:rsid w:val="00BE060B"/>
    <w:rsid w:val="00BE0684"/>
    <w:rsid w:val="00BE077A"/>
    <w:rsid w:val="00BE0CBF"/>
    <w:rsid w:val="00BE0E19"/>
    <w:rsid w:val="00BE1624"/>
    <w:rsid w:val="00BE19B0"/>
    <w:rsid w:val="00BE1D6C"/>
    <w:rsid w:val="00BE1EEC"/>
    <w:rsid w:val="00BE20E8"/>
    <w:rsid w:val="00BE2162"/>
    <w:rsid w:val="00BE25CD"/>
    <w:rsid w:val="00BE2629"/>
    <w:rsid w:val="00BE2825"/>
    <w:rsid w:val="00BE31DD"/>
    <w:rsid w:val="00BE35D9"/>
    <w:rsid w:val="00BE36E1"/>
    <w:rsid w:val="00BE3870"/>
    <w:rsid w:val="00BE3AEC"/>
    <w:rsid w:val="00BE3B50"/>
    <w:rsid w:val="00BE3D93"/>
    <w:rsid w:val="00BE3E61"/>
    <w:rsid w:val="00BE3ED2"/>
    <w:rsid w:val="00BE3F73"/>
    <w:rsid w:val="00BE49C4"/>
    <w:rsid w:val="00BE4E22"/>
    <w:rsid w:val="00BE4FB5"/>
    <w:rsid w:val="00BE50E7"/>
    <w:rsid w:val="00BE5103"/>
    <w:rsid w:val="00BE5170"/>
    <w:rsid w:val="00BE52F8"/>
    <w:rsid w:val="00BE549C"/>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8E8"/>
    <w:rsid w:val="00BE79A6"/>
    <w:rsid w:val="00BE7D01"/>
    <w:rsid w:val="00BF007F"/>
    <w:rsid w:val="00BF01A1"/>
    <w:rsid w:val="00BF024F"/>
    <w:rsid w:val="00BF032A"/>
    <w:rsid w:val="00BF0498"/>
    <w:rsid w:val="00BF0571"/>
    <w:rsid w:val="00BF05B2"/>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0A2"/>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D0B"/>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3E"/>
    <w:rsid w:val="00C0175F"/>
    <w:rsid w:val="00C01985"/>
    <w:rsid w:val="00C01A39"/>
    <w:rsid w:val="00C01A60"/>
    <w:rsid w:val="00C0231F"/>
    <w:rsid w:val="00C02444"/>
    <w:rsid w:val="00C0264E"/>
    <w:rsid w:val="00C029FF"/>
    <w:rsid w:val="00C030CB"/>
    <w:rsid w:val="00C03305"/>
    <w:rsid w:val="00C0349C"/>
    <w:rsid w:val="00C035C0"/>
    <w:rsid w:val="00C036F8"/>
    <w:rsid w:val="00C03A7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2BA"/>
    <w:rsid w:val="00C053E0"/>
    <w:rsid w:val="00C053F6"/>
    <w:rsid w:val="00C05977"/>
    <w:rsid w:val="00C05A30"/>
    <w:rsid w:val="00C05BE3"/>
    <w:rsid w:val="00C05C3C"/>
    <w:rsid w:val="00C05E0D"/>
    <w:rsid w:val="00C060EE"/>
    <w:rsid w:val="00C06194"/>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3C"/>
    <w:rsid w:val="00C07DD8"/>
    <w:rsid w:val="00C10B72"/>
    <w:rsid w:val="00C10F10"/>
    <w:rsid w:val="00C1121C"/>
    <w:rsid w:val="00C11527"/>
    <w:rsid w:val="00C1178A"/>
    <w:rsid w:val="00C117BD"/>
    <w:rsid w:val="00C11845"/>
    <w:rsid w:val="00C1187C"/>
    <w:rsid w:val="00C11AD3"/>
    <w:rsid w:val="00C11B21"/>
    <w:rsid w:val="00C11B54"/>
    <w:rsid w:val="00C11D41"/>
    <w:rsid w:val="00C11E44"/>
    <w:rsid w:val="00C120D2"/>
    <w:rsid w:val="00C121B3"/>
    <w:rsid w:val="00C124F7"/>
    <w:rsid w:val="00C1256D"/>
    <w:rsid w:val="00C1276A"/>
    <w:rsid w:val="00C12858"/>
    <w:rsid w:val="00C1298A"/>
    <w:rsid w:val="00C12B9D"/>
    <w:rsid w:val="00C12BFA"/>
    <w:rsid w:val="00C1303F"/>
    <w:rsid w:val="00C133B6"/>
    <w:rsid w:val="00C13453"/>
    <w:rsid w:val="00C135D2"/>
    <w:rsid w:val="00C136AD"/>
    <w:rsid w:val="00C137AE"/>
    <w:rsid w:val="00C138B9"/>
    <w:rsid w:val="00C138FB"/>
    <w:rsid w:val="00C13956"/>
    <w:rsid w:val="00C13D0F"/>
    <w:rsid w:val="00C13DC4"/>
    <w:rsid w:val="00C13F8D"/>
    <w:rsid w:val="00C13FBA"/>
    <w:rsid w:val="00C140B3"/>
    <w:rsid w:val="00C14200"/>
    <w:rsid w:val="00C14338"/>
    <w:rsid w:val="00C144B8"/>
    <w:rsid w:val="00C148A0"/>
    <w:rsid w:val="00C14990"/>
    <w:rsid w:val="00C14D3C"/>
    <w:rsid w:val="00C151E6"/>
    <w:rsid w:val="00C152F3"/>
    <w:rsid w:val="00C1542D"/>
    <w:rsid w:val="00C158DF"/>
    <w:rsid w:val="00C15C82"/>
    <w:rsid w:val="00C15F0D"/>
    <w:rsid w:val="00C16401"/>
    <w:rsid w:val="00C16596"/>
    <w:rsid w:val="00C16726"/>
    <w:rsid w:val="00C16743"/>
    <w:rsid w:val="00C16952"/>
    <w:rsid w:val="00C16CA8"/>
    <w:rsid w:val="00C16CC5"/>
    <w:rsid w:val="00C16CC9"/>
    <w:rsid w:val="00C16D1D"/>
    <w:rsid w:val="00C1732B"/>
    <w:rsid w:val="00C1751C"/>
    <w:rsid w:val="00C17571"/>
    <w:rsid w:val="00C17579"/>
    <w:rsid w:val="00C178B1"/>
    <w:rsid w:val="00C17949"/>
    <w:rsid w:val="00C1796D"/>
    <w:rsid w:val="00C17A5D"/>
    <w:rsid w:val="00C17E82"/>
    <w:rsid w:val="00C203F4"/>
    <w:rsid w:val="00C20719"/>
    <w:rsid w:val="00C20AE9"/>
    <w:rsid w:val="00C20C5C"/>
    <w:rsid w:val="00C20D77"/>
    <w:rsid w:val="00C20EC4"/>
    <w:rsid w:val="00C21146"/>
    <w:rsid w:val="00C211B9"/>
    <w:rsid w:val="00C2128F"/>
    <w:rsid w:val="00C21431"/>
    <w:rsid w:val="00C21454"/>
    <w:rsid w:val="00C21492"/>
    <w:rsid w:val="00C215DA"/>
    <w:rsid w:val="00C215F7"/>
    <w:rsid w:val="00C21687"/>
    <w:rsid w:val="00C21772"/>
    <w:rsid w:val="00C21837"/>
    <w:rsid w:val="00C219C0"/>
    <w:rsid w:val="00C21FC4"/>
    <w:rsid w:val="00C2209F"/>
    <w:rsid w:val="00C2217C"/>
    <w:rsid w:val="00C22232"/>
    <w:rsid w:val="00C222A9"/>
    <w:rsid w:val="00C222DC"/>
    <w:rsid w:val="00C22386"/>
    <w:rsid w:val="00C223F6"/>
    <w:rsid w:val="00C22450"/>
    <w:rsid w:val="00C224FB"/>
    <w:rsid w:val="00C2255F"/>
    <w:rsid w:val="00C22837"/>
    <w:rsid w:val="00C22893"/>
    <w:rsid w:val="00C228D5"/>
    <w:rsid w:val="00C22A82"/>
    <w:rsid w:val="00C22AF4"/>
    <w:rsid w:val="00C22FDC"/>
    <w:rsid w:val="00C2319A"/>
    <w:rsid w:val="00C23547"/>
    <w:rsid w:val="00C236BE"/>
    <w:rsid w:val="00C2371F"/>
    <w:rsid w:val="00C238D6"/>
    <w:rsid w:val="00C23A30"/>
    <w:rsid w:val="00C23ABB"/>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DF2"/>
    <w:rsid w:val="00C25E57"/>
    <w:rsid w:val="00C2657B"/>
    <w:rsid w:val="00C266A8"/>
    <w:rsid w:val="00C26A79"/>
    <w:rsid w:val="00C26B1D"/>
    <w:rsid w:val="00C26E1B"/>
    <w:rsid w:val="00C26EF1"/>
    <w:rsid w:val="00C272D4"/>
    <w:rsid w:val="00C2737B"/>
    <w:rsid w:val="00C274FC"/>
    <w:rsid w:val="00C279E4"/>
    <w:rsid w:val="00C27D4E"/>
    <w:rsid w:val="00C27DB9"/>
    <w:rsid w:val="00C27ED7"/>
    <w:rsid w:val="00C27F5B"/>
    <w:rsid w:val="00C3013E"/>
    <w:rsid w:val="00C301A7"/>
    <w:rsid w:val="00C303D8"/>
    <w:rsid w:val="00C304E4"/>
    <w:rsid w:val="00C30A76"/>
    <w:rsid w:val="00C30BE0"/>
    <w:rsid w:val="00C30F1D"/>
    <w:rsid w:val="00C30F49"/>
    <w:rsid w:val="00C30F79"/>
    <w:rsid w:val="00C31031"/>
    <w:rsid w:val="00C3111D"/>
    <w:rsid w:val="00C3113D"/>
    <w:rsid w:val="00C312B4"/>
    <w:rsid w:val="00C31544"/>
    <w:rsid w:val="00C31624"/>
    <w:rsid w:val="00C316C4"/>
    <w:rsid w:val="00C31A13"/>
    <w:rsid w:val="00C31BC1"/>
    <w:rsid w:val="00C31BD6"/>
    <w:rsid w:val="00C3210E"/>
    <w:rsid w:val="00C323BD"/>
    <w:rsid w:val="00C32477"/>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3E40"/>
    <w:rsid w:val="00C34080"/>
    <w:rsid w:val="00C340A5"/>
    <w:rsid w:val="00C34107"/>
    <w:rsid w:val="00C34562"/>
    <w:rsid w:val="00C3470C"/>
    <w:rsid w:val="00C34DCC"/>
    <w:rsid w:val="00C35104"/>
    <w:rsid w:val="00C3512A"/>
    <w:rsid w:val="00C35136"/>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8BC"/>
    <w:rsid w:val="00C4094C"/>
    <w:rsid w:val="00C409B4"/>
    <w:rsid w:val="00C40A78"/>
    <w:rsid w:val="00C40E4E"/>
    <w:rsid w:val="00C40FB1"/>
    <w:rsid w:val="00C41409"/>
    <w:rsid w:val="00C41419"/>
    <w:rsid w:val="00C41492"/>
    <w:rsid w:val="00C4150B"/>
    <w:rsid w:val="00C415F5"/>
    <w:rsid w:val="00C416FE"/>
    <w:rsid w:val="00C41736"/>
    <w:rsid w:val="00C418BD"/>
    <w:rsid w:val="00C41B2C"/>
    <w:rsid w:val="00C41C41"/>
    <w:rsid w:val="00C41F1B"/>
    <w:rsid w:val="00C41FF8"/>
    <w:rsid w:val="00C421E1"/>
    <w:rsid w:val="00C421E2"/>
    <w:rsid w:val="00C42510"/>
    <w:rsid w:val="00C426D2"/>
    <w:rsid w:val="00C4288C"/>
    <w:rsid w:val="00C42BA1"/>
    <w:rsid w:val="00C42E7F"/>
    <w:rsid w:val="00C42FDC"/>
    <w:rsid w:val="00C430F1"/>
    <w:rsid w:val="00C432B9"/>
    <w:rsid w:val="00C433CA"/>
    <w:rsid w:val="00C436F6"/>
    <w:rsid w:val="00C438AE"/>
    <w:rsid w:val="00C438B7"/>
    <w:rsid w:val="00C438FE"/>
    <w:rsid w:val="00C43932"/>
    <w:rsid w:val="00C43A95"/>
    <w:rsid w:val="00C43E5D"/>
    <w:rsid w:val="00C43F52"/>
    <w:rsid w:val="00C44011"/>
    <w:rsid w:val="00C44012"/>
    <w:rsid w:val="00C44A9F"/>
    <w:rsid w:val="00C44BB8"/>
    <w:rsid w:val="00C44E0A"/>
    <w:rsid w:val="00C452EF"/>
    <w:rsid w:val="00C45372"/>
    <w:rsid w:val="00C45425"/>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934"/>
    <w:rsid w:val="00C47E79"/>
    <w:rsid w:val="00C47ED1"/>
    <w:rsid w:val="00C47F82"/>
    <w:rsid w:val="00C47FD4"/>
    <w:rsid w:val="00C5007B"/>
    <w:rsid w:val="00C50179"/>
    <w:rsid w:val="00C50222"/>
    <w:rsid w:val="00C504E7"/>
    <w:rsid w:val="00C505EC"/>
    <w:rsid w:val="00C50612"/>
    <w:rsid w:val="00C50640"/>
    <w:rsid w:val="00C506D6"/>
    <w:rsid w:val="00C50BB4"/>
    <w:rsid w:val="00C50CB9"/>
    <w:rsid w:val="00C50F6A"/>
    <w:rsid w:val="00C5115E"/>
    <w:rsid w:val="00C51642"/>
    <w:rsid w:val="00C516CD"/>
    <w:rsid w:val="00C51836"/>
    <w:rsid w:val="00C519E8"/>
    <w:rsid w:val="00C51BE7"/>
    <w:rsid w:val="00C51D43"/>
    <w:rsid w:val="00C522AB"/>
    <w:rsid w:val="00C522DA"/>
    <w:rsid w:val="00C5238F"/>
    <w:rsid w:val="00C52395"/>
    <w:rsid w:val="00C525C2"/>
    <w:rsid w:val="00C529C1"/>
    <w:rsid w:val="00C52CB1"/>
    <w:rsid w:val="00C52ED0"/>
    <w:rsid w:val="00C530B7"/>
    <w:rsid w:val="00C532CD"/>
    <w:rsid w:val="00C534EC"/>
    <w:rsid w:val="00C534F1"/>
    <w:rsid w:val="00C53544"/>
    <w:rsid w:val="00C53560"/>
    <w:rsid w:val="00C5371A"/>
    <w:rsid w:val="00C53768"/>
    <w:rsid w:val="00C539A5"/>
    <w:rsid w:val="00C53A47"/>
    <w:rsid w:val="00C53BC3"/>
    <w:rsid w:val="00C53CCA"/>
    <w:rsid w:val="00C53D9D"/>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E1C"/>
    <w:rsid w:val="00C55FAC"/>
    <w:rsid w:val="00C56002"/>
    <w:rsid w:val="00C5618B"/>
    <w:rsid w:val="00C563CB"/>
    <w:rsid w:val="00C56442"/>
    <w:rsid w:val="00C56487"/>
    <w:rsid w:val="00C56634"/>
    <w:rsid w:val="00C56BCD"/>
    <w:rsid w:val="00C56CB5"/>
    <w:rsid w:val="00C56D34"/>
    <w:rsid w:val="00C56FAE"/>
    <w:rsid w:val="00C5737D"/>
    <w:rsid w:val="00C573DE"/>
    <w:rsid w:val="00C57958"/>
    <w:rsid w:val="00C57BD6"/>
    <w:rsid w:val="00C57CB7"/>
    <w:rsid w:val="00C57CE6"/>
    <w:rsid w:val="00C6003D"/>
    <w:rsid w:val="00C601D9"/>
    <w:rsid w:val="00C60397"/>
    <w:rsid w:val="00C60534"/>
    <w:rsid w:val="00C6082D"/>
    <w:rsid w:val="00C60A3A"/>
    <w:rsid w:val="00C60B4B"/>
    <w:rsid w:val="00C60CB5"/>
    <w:rsid w:val="00C61050"/>
    <w:rsid w:val="00C610F1"/>
    <w:rsid w:val="00C616BC"/>
    <w:rsid w:val="00C61B04"/>
    <w:rsid w:val="00C61E29"/>
    <w:rsid w:val="00C62184"/>
    <w:rsid w:val="00C6225C"/>
    <w:rsid w:val="00C62641"/>
    <w:rsid w:val="00C627C7"/>
    <w:rsid w:val="00C62962"/>
    <w:rsid w:val="00C62B3B"/>
    <w:rsid w:val="00C62C29"/>
    <w:rsid w:val="00C63362"/>
    <w:rsid w:val="00C63397"/>
    <w:rsid w:val="00C6346D"/>
    <w:rsid w:val="00C635AE"/>
    <w:rsid w:val="00C635D7"/>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F6B"/>
    <w:rsid w:val="00C65244"/>
    <w:rsid w:val="00C657BF"/>
    <w:rsid w:val="00C65BA6"/>
    <w:rsid w:val="00C65E1E"/>
    <w:rsid w:val="00C65E2E"/>
    <w:rsid w:val="00C65EF3"/>
    <w:rsid w:val="00C66349"/>
    <w:rsid w:val="00C664B1"/>
    <w:rsid w:val="00C664B9"/>
    <w:rsid w:val="00C664D2"/>
    <w:rsid w:val="00C6660E"/>
    <w:rsid w:val="00C6684D"/>
    <w:rsid w:val="00C66866"/>
    <w:rsid w:val="00C66C31"/>
    <w:rsid w:val="00C66D24"/>
    <w:rsid w:val="00C66F5D"/>
    <w:rsid w:val="00C672C5"/>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0AC"/>
    <w:rsid w:val="00C712E2"/>
    <w:rsid w:val="00C713DB"/>
    <w:rsid w:val="00C7147A"/>
    <w:rsid w:val="00C714B6"/>
    <w:rsid w:val="00C715D5"/>
    <w:rsid w:val="00C716E4"/>
    <w:rsid w:val="00C71756"/>
    <w:rsid w:val="00C7186E"/>
    <w:rsid w:val="00C719E7"/>
    <w:rsid w:val="00C71A28"/>
    <w:rsid w:val="00C71D1B"/>
    <w:rsid w:val="00C71D70"/>
    <w:rsid w:val="00C71E5F"/>
    <w:rsid w:val="00C71EA8"/>
    <w:rsid w:val="00C720C2"/>
    <w:rsid w:val="00C7236C"/>
    <w:rsid w:val="00C724D9"/>
    <w:rsid w:val="00C725E4"/>
    <w:rsid w:val="00C7300F"/>
    <w:rsid w:val="00C73179"/>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662"/>
    <w:rsid w:val="00C77731"/>
    <w:rsid w:val="00C778BD"/>
    <w:rsid w:val="00C779E4"/>
    <w:rsid w:val="00C80077"/>
    <w:rsid w:val="00C80216"/>
    <w:rsid w:val="00C8061A"/>
    <w:rsid w:val="00C80A77"/>
    <w:rsid w:val="00C80D4F"/>
    <w:rsid w:val="00C80F40"/>
    <w:rsid w:val="00C81045"/>
    <w:rsid w:val="00C810A1"/>
    <w:rsid w:val="00C811CD"/>
    <w:rsid w:val="00C812B7"/>
    <w:rsid w:val="00C81361"/>
    <w:rsid w:val="00C81642"/>
    <w:rsid w:val="00C816DA"/>
    <w:rsid w:val="00C8175A"/>
    <w:rsid w:val="00C81824"/>
    <w:rsid w:val="00C818BB"/>
    <w:rsid w:val="00C818E9"/>
    <w:rsid w:val="00C8197A"/>
    <w:rsid w:val="00C81A36"/>
    <w:rsid w:val="00C8217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071"/>
    <w:rsid w:val="00C85274"/>
    <w:rsid w:val="00C855DC"/>
    <w:rsid w:val="00C85805"/>
    <w:rsid w:val="00C85E53"/>
    <w:rsid w:val="00C86031"/>
    <w:rsid w:val="00C86A08"/>
    <w:rsid w:val="00C86D51"/>
    <w:rsid w:val="00C87375"/>
    <w:rsid w:val="00C87420"/>
    <w:rsid w:val="00C87ADF"/>
    <w:rsid w:val="00C87F1A"/>
    <w:rsid w:val="00C90212"/>
    <w:rsid w:val="00C90D46"/>
    <w:rsid w:val="00C90D89"/>
    <w:rsid w:val="00C90DEF"/>
    <w:rsid w:val="00C910A5"/>
    <w:rsid w:val="00C91917"/>
    <w:rsid w:val="00C91A17"/>
    <w:rsid w:val="00C91D47"/>
    <w:rsid w:val="00C91DAC"/>
    <w:rsid w:val="00C91EED"/>
    <w:rsid w:val="00C91F33"/>
    <w:rsid w:val="00C91F8F"/>
    <w:rsid w:val="00C91FB0"/>
    <w:rsid w:val="00C92041"/>
    <w:rsid w:val="00C922FB"/>
    <w:rsid w:val="00C9243C"/>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9E3"/>
    <w:rsid w:val="00C94FCD"/>
    <w:rsid w:val="00C95300"/>
    <w:rsid w:val="00C954AE"/>
    <w:rsid w:val="00C954EF"/>
    <w:rsid w:val="00C9585A"/>
    <w:rsid w:val="00C958F9"/>
    <w:rsid w:val="00C95C73"/>
    <w:rsid w:val="00C96366"/>
    <w:rsid w:val="00C96525"/>
    <w:rsid w:val="00C965B4"/>
    <w:rsid w:val="00C966C0"/>
    <w:rsid w:val="00C96938"/>
    <w:rsid w:val="00C96C2E"/>
    <w:rsid w:val="00C96CA0"/>
    <w:rsid w:val="00C96DB9"/>
    <w:rsid w:val="00C974C3"/>
    <w:rsid w:val="00C97BB6"/>
    <w:rsid w:val="00C97CBC"/>
    <w:rsid w:val="00C97CF9"/>
    <w:rsid w:val="00CA0099"/>
    <w:rsid w:val="00CA01EA"/>
    <w:rsid w:val="00CA030B"/>
    <w:rsid w:val="00CA046A"/>
    <w:rsid w:val="00CA061F"/>
    <w:rsid w:val="00CA0694"/>
    <w:rsid w:val="00CA09BA"/>
    <w:rsid w:val="00CA0B6E"/>
    <w:rsid w:val="00CA0BEA"/>
    <w:rsid w:val="00CA0C72"/>
    <w:rsid w:val="00CA0F70"/>
    <w:rsid w:val="00CA1561"/>
    <w:rsid w:val="00CA1584"/>
    <w:rsid w:val="00CA15A5"/>
    <w:rsid w:val="00CA15F3"/>
    <w:rsid w:val="00CA1781"/>
    <w:rsid w:val="00CA192A"/>
    <w:rsid w:val="00CA1B45"/>
    <w:rsid w:val="00CA1B79"/>
    <w:rsid w:val="00CA1EFB"/>
    <w:rsid w:val="00CA2201"/>
    <w:rsid w:val="00CA2770"/>
    <w:rsid w:val="00CA31AC"/>
    <w:rsid w:val="00CA32D3"/>
    <w:rsid w:val="00CA330A"/>
    <w:rsid w:val="00CA331D"/>
    <w:rsid w:val="00CA333B"/>
    <w:rsid w:val="00CA3656"/>
    <w:rsid w:val="00CA3698"/>
    <w:rsid w:val="00CA37EF"/>
    <w:rsid w:val="00CA3B27"/>
    <w:rsid w:val="00CA3BB0"/>
    <w:rsid w:val="00CA3CC1"/>
    <w:rsid w:val="00CA3EF3"/>
    <w:rsid w:val="00CA42CB"/>
    <w:rsid w:val="00CA46AC"/>
    <w:rsid w:val="00CA46D9"/>
    <w:rsid w:val="00CA47F0"/>
    <w:rsid w:val="00CA4C3D"/>
    <w:rsid w:val="00CA4D0F"/>
    <w:rsid w:val="00CA4D69"/>
    <w:rsid w:val="00CA4F66"/>
    <w:rsid w:val="00CA54CE"/>
    <w:rsid w:val="00CA573E"/>
    <w:rsid w:val="00CA5775"/>
    <w:rsid w:val="00CA578C"/>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2E"/>
    <w:rsid w:val="00CB056D"/>
    <w:rsid w:val="00CB05D4"/>
    <w:rsid w:val="00CB0627"/>
    <w:rsid w:val="00CB06E7"/>
    <w:rsid w:val="00CB07AA"/>
    <w:rsid w:val="00CB0922"/>
    <w:rsid w:val="00CB0DE4"/>
    <w:rsid w:val="00CB1402"/>
    <w:rsid w:val="00CB142B"/>
    <w:rsid w:val="00CB14DD"/>
    <w:rsid w:val="00CB1694"/>
    <w:rsid w:val="00CB175E"/>
    <w:rsid w:val="00CB17B1"/>
    <w:rsid w:val="00CB183C"/>
    <w:rsid w:val="00CB1897"/>
    <w:rsid w:val="00CB1958"/>
    <w:rsid w:val="00CB1CCE"/>
    <w:rsid w:val="00CB1CFC"/>
    <w:rsid w:val="00CB1F6B"/>
    <w:rsid w:val="00CB2376"/>
    <w:rsid w:val="00CB2471"/>
    <w:rsid w:val="00CB26A7"/>
    <w:rsid w:val="00CB2802"/>
    <w:rsid w:val="00CB2810"/>
    <w:rsid w:val="00CB2AC6"/>
    <w:rsid w:val="00CB2BCB"/>
    <w:rsid w:val="00CB2C3E"/>
    <w:rsid w:val="00CB2C9D"/>
    <w:rsid w:val="00CB2E35"/>
    <w:rsid w:val="00CB2E9B"/>
    <w:rsid w:val="00CB2F05"/>
    <w:rsid w:val="00CB2F51"/>
    <w:rsid w:val="00CB32AD"/>
    <w:rsid w:val="00CB35DE"/>
    <w:rsid w:val="00CB3735"/>
    <w:rsid w:val="00CB387A"/>
    <w:rsid w:val="00CB38D0"/>
    <w:rsid w:val="00CB3968"/>
    <w:rsid w:val="00CB3E90"/>
    <w:rsid w:val="00CB439E"/>
    <w:rsid w:val="00CB445C"/>
    <w:rsid w:val="00CB44E8"/>
    <w:rsid w:val="00CB4C16"/>
    <w:rsid w:val="00CB4CD4"/>
    <w:rsid w:val="00CB4DCB"/>
    <w:rsid w:val="00CB4EFA"/>
    <w:rsid w:val="00CB51F8"/>
    <w:rsid w:val="00CB55BA"/>
    <w:rsid w:val="00CB583D"/>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264"/>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1B6"/>
    <w:rsid w:val="00CC29E5"/>
    <w:rsid w:val="00CC3743"/>
    <w:rsid w:val="00CC3769"/>
    <w:rsid w:val="00CC3865"/>
    <w:rsid w:val="00CC38F1"/>
    <w:rsid w:val="00CC3E05"/>
    <w:rsid w:val="00CC4183"/>
    <w:rsid w:val="00CC432B"/>
    <w:rsid w:val="00CC43EC"/>
    <w:rsid w:val="00CC45C6"/>
    <w:rsid w:val="00CC4C7F"/>
    <w:rsid w:val="00CC4CAF"/>
    <w:rsid w:val="00CC4D0F"/>
    <w:rsid w:val="00CC4D10"/>
    <w:rsid w:val="00CC4D46"/>
    <w:rsid w:val="00CC5071"/>
    <w:rsid w:val="00CC52A6"/>
    <w:rsid w:val="00CC5F6D"/>
    <w:rsid w:val="00CC665B"/>
    <w:rsid w:val="00CC6F30"/>
    <w:rsid w:val="00CC6FF1"/>
    <w:rsid w:val="00CC7024"/>
    <w:rsid w:val="00CC7028"/>
    <w:rsid w:val="00CC7035"/>
    <w:rsid w:val="00CC7105"/>
    <w:rsid w:val="00CC71C6"/>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07B"/>
    <w:rsid w:val="00CD21F8"/>
    <w:rsid w:val="00CD233A"/>
    <w:rsid w:val="00CD24D8"/>
    <w:rsid w:val="00CD27B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B3"/>
    <w:rsid w:val="00CD47FB"/>
    <w:rsid w:val="00CD48D2"/>
    <w:rsid w:val="00CD48E0"/>
    <w:rsid w:val="00CD49CD"/>
    <w:rsid w:val="00CD49CF"/>
    <w:rsid w:val="00CD4A91"/>
    <w:rsid w:val="00CD4CB5"/>
    <w:rsid w:val="00CD4D55"/>
    <w:rsid w:val="00CD5032"/>
    <w:rsid w:val="00CD539F"/>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A4"/>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1C0B"/>
    <w:rsid w:val="00CE20F4"/>
    <w:rsid w:val="00CE212F"/>
    <w:rsid w:val="00CE229D"/>
    <w:rsid w:val="00CE2497"/>
    <w:rsid w:val="00CE2547"/>
    <w:rsid w:val="00CE25A3"/>
    <w:rsid w:val="00CE2944"/>
    <w:rsid w:val="00CE2B25"/>
    <w:rsid w:val="00CE2BE4"/>
    <w:rsid w:val="00CE2D77"/>
    <w:rsid w:val="00CE3309"/>
    <w:rsid w:val="00CE3553"/>
    <w:rsid w:val="00CE361A"/>
    <w:rsid w:val="00CE36DF"/>
    <w:rsid w:val="00CE36F6"/>
    <w:rsid w:val="00CE37CF"/>
    <w:rsid w:val="00CE39D8"/>
    <w:rsid w:val="00CE3EFA"/>
    <w:rsid w:val="00CE4040"/>
    <w:rsid w:val="00CE4586"/>
    <w:rsid w:val="00CE45F0"/>
    <w:rsid w:val="00CE4B5F"/>
    <w:rsid w:val="00CE50EC"/>
    <w:rsid w:val="00CE52F6"/>
    <w:rsid w:val="00CE55F8"/>
    <w:rsid w:val="00CE5660"/>
    <w:rsid w:val="00CE570E"/>
    <w:rsid w:val="00CE59B4"/>
    <w:rsid w:val="00CE5C1E"/>
    <w:rsid w:val="00CE5CF9"/>
    <w:rsid w:val="00CE5EA8"/>
    <w:rsid w:val="00CE60E7"/>
    <w:rsid w:val="00CE617B"/>
    <w:rsid w:val="00CE6846"/>
    <w:rsid w:val="00CE68EC"/>
    <w:rsid w:val="00CE6ABE"/>
    <w:rsid w:val="00CE6C67"/>
    <w:rsid w:val="00CE6D12"/>
    <w:rsid w:val="00CE6E08"/>
    <w:rsid w:val="00CE6E2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3B6"/>
    <w:rsid w:val="00CF242B"/>
    <w:rsid w:val="00CF2528"/>
    <w:rsid w:val="00CF27E0"/>
    <w:rsid w:val="00CF27F7"/>
    <w:rsid w:val="00CF29A9"/>
    <w:rsid w:val="00CF2AFE"/>
    <w:rsid w:val="00CF2EC6"/>
    <w:rsid w:val="00CF3006"/>
    <w:rsid w:val="00CF3298"/>
    <w:rsid w:val="00CF334B"/>
    <w:rsid w:val="00CF33C3"/>
    <w:rsid w:val="00CF3594"/>
    <w:rsid w:val="00CF35F1"/>
    <w:rsid w:val="00CF394B"/>
    <w:rsid w:val="00CF3A44"/>
    <w:rsid w:val="00CF3DF1"/>
    <w:rsid w:val="00CF3E22"/>
    <w:rsid w:val="00CF3E68"/>
    <w:rsid w:val="00CF4140"/>
    <w:rsid w:val="00CF4242"/>
    <w:rsid w:val="00CF4251"/>
    <w:rsid w:val="00CF42C3"/>
    <w:rsid w:val="00CF4313"/>
    <w:rsid w:val="00CF43F8"/>
    <w:rsid w:val="00CF4593"/>
    <w:rsid w:val="00CF4732"/>
    <w:rsid w:val="00CF479A"/>
    <w:rsid w:val="00CF47B0"/>
    <w:rsid w:val="00CF4A1A"/>
    <w:rsid w:val="00CF503F"/>
    <w:rsid w:val="00CF5202"/>
    <w:rsid w:val="00CF539E"/>
    <w:rsid w:val="00CF53D4"/>
    <w:rsid w:val="00CF5CDF"/>
    <w:rsid w:val="00CF69E1"/>
    <w:rsid w:val="00CF69E7"/>
    <w:rsid w:val="00CF6BBB"/>
    <w:rsid w:val="00CF6CC9"/>
    <w:rsid w:val="00CF6CF9"/>
    <w:rsid w:val="00CF73B4"/>
    <w:rsid w:val="00CF76A4"/>
    <w:rsid w:val="00CF7713"/>
    <w:rsid w:val="00CF79FB"/>
    <w:rsid w:val="00CF79FF"/>
    <w:rsid w:val="00CF7BDD"/>
    <w:rsid w:val="00CF7D71"/>
    <w:rsid w:val="00D000F3"/>
    <w:rsid w:val="00D0014C"/>
    <w:rsid w:val="00D00188"/>
    <w:rsid w:val="00D003B2"/>
    <w:rsid w:val="00D008AA"/>
    <w:rsid w:val="00D009D9"/>
    <w:rsid w:val="00D00D20"/>
    <w:rsid w:val="00D01388"/>
    <w:rsid w:val="00D01542"/>
    <w:rsid w:val="00D01683"/>
    <w:rsid w:val="00D01A0C"/>
    <w:rsid w:val="00D01AC3"/>
    <w:rsid w:val="00D01B1A"/>
    <w:rsid w:val="00D01BF0"/>
    <w:rsid w:val="00D01DA0"/>
    <w:rsid w:val="00D01E93"/>
    <w:rsid w:val="00D01F4A"/>
    <w:rsid w:val="00D01FAD"/>
    <w:rsid w:val="00D025A6"/>
    <w:rsid w:val="00D02609"/>
    <w:rsid w:val="00D02681"/>
    <w:rsid w:val="00D029C3"/>
    <w:rsid w:val="00D02BFD"/>
    <w:rsid w:val="00D02C1C"/>
    <w:rsid w:val="00D02C56"/>
    <w:rsid w:val="00D02CAC"/>
    <w:rsid w:val="00D02DF6"/>
    <w:rsid w:val="00D030AA"/>
    <w:rsid w:val="00D031B2"/>
    <w:rsid w:val="00D0355D"/>
    <w:rsid w:val="00D0376D"/>
    <w:rsid w:val="00D0390B"/>
    <w:rsid w:val="00D039FD"/>
    <w:rsid w:val="00D03A63"/>
    <w:rsid w:val="00D03D28"/>
    <w:rsid w:val="00D040FC"/>
    <w:rsid w:val="00D04173"/>
    <w:rsid w:val="00D043F2"/>
    <w:rsid w:val="00D04747"/>
    <w:rsid w:val="00D047BA"/>
    <w:rsid w:val="00D047D8"/>
    <w:rsid w:val="00D04878"/>
    <w:rsid w:val="00D0488D"/>
    <w:rsid w:val="00D04A84"/>
    <w:rsid w:val="00D04B6F"/>
    <w:rsid w:val="00D04D63"/>
    <w:rsid w:val="00D04DA0"/>
    <w:rsid w:val="00D04DE9"/>
    <w:rsid w:val="00D04E32"/>
    <w:rsid w:val="00D05143"/>
    <w:rsid w:val="00D05172"/>
    <w:rsid w:val="00D05191"/>
    <w:rsid w:val="00D05446"/>
    <w:rsid w:val="00D05752"/>
    <w:rsid w:val="00D05BAA"/>
    <w:rsid w:val="00D05DC7"/>
    <w:rsid w:val="00D060ED"/>
    <w:rsid w:val="00D0618E"/>
    <w:rsid w:val="00D062EC"/>
    <w:rsid w:val="00D0630C"/>
    <w:rsid w:val="00D06334"/>
    <w:rsid w:val="00D066F1"/>
    <w:rsid w:val="00D06719"/>
    <w:rsid w:val="00D069D7"/>
    <w:rsid w:val="00D06B3E"/>
    <w:rsid w:val="00D073C5"/>
    <w:rsid w:val="00D0743E"/>
    <w:rsid w:val="00D0754D"/>
    <w:rsid w:val="00D0756A"/>
    <w:rsid w:val="00D077C7"/>
    <w:rsid w:val="00D07941"/>
    <w:rsid w:val="00D07D47"/>
    <w:rsid w:val="00D07F46"/>
    <w:rsid w:val="00D1030C"/>
    <w:rsid w:val="00D1050C"/>
    <w:rsid w:val="00D10619"/>
    <w:rsid w:val="00D10D38"/>
    <w:rsid w:val="00D10D96"/>
    <w:rsid w:val="00D11032"/>
    <w:rsid w:val="00D112A1"/>
    <w:rsid w:val="00D1133C"/>
    <w:rsid w:val="00D1146A"/>
    <w:rsid w:val="00D114C7"/>
    <w:rsid w:val="00D115E5"/>
    <w:rsid w:val="00D117E3"/>
    <w:rsid w:val="00D1198C"/>
    <w:rsid w:val="00D119B4"/>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93F"/>
    <w:rsid w:val="00D17A23"/>
    <w:rsid w:val="00D17BD4"/>
    <w:rsid w:val="00D17BDE"/>
    <w:rsid w:val="00D17FB2"/>
    <w:rsid w:val="00D201FB"/>
    <w:rsid w:val="00D2037F"/>
    <w:rsid w:val="00D205AD"/>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ABC"/>
    <w:rsid w:val="00D23BC4"/>
    <w:rsid w:val="00D2419D"/>
    <w:rsid w:val="00D241AE"/>
    <w:rsid w:val="00D24269"/>
    <w:rsid w:val="00D24464"/>
    <w:rsid w:val="00D246E4"/>
    <w:rsid w:val="00D24929"/>
    <w:rsid w:val="00D24D6C"/>
    <w:rsid w:val="00D24D8C"/>
    <w:rsid w:val="00D24D92"/>
    <w:rsid w:val="00D24DF8"/>
    <w:rsid w:val="00D24E77"/>
    <w:rsid w:val="00D2523C"/>
    <w:rsid w:val="00D252CF"/>
    <w:rsid w:val="00D253D9"/>
    <w:rsid w:val="00D255D4"/>
    <w:rsid w:val="00D255DB"/>
    <w:rsid w:val="00D2564C"/>
    <w:rsid w:val="00D25801"/>
    <w:rsid w:val="00D25D8A"/>
    <w:rsid w:val="00D26150"/>
    <w:rsid w:val="00D2619F"/>
    <w:rsid w:val="00D2625A"/>
    <w:rsid w:val="00D267BF"/>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2AE"/>
    <w:rsid w:val="00D3274F"/>
    <w:rsid w:val="00D32B3C"/>
    <w:rsid w:val="00D32C62"/>
    <w:rsid w:val="00D33134"/>
    <w:rsid w:val="00D331AC"/>
    <w:rsid w:val="00D33517"/>
    <w:rsid w:val="00D335FF"/>
    <w:rsid w:val="00D33606"/>
    <w:rsid w:val="00D33647"/>
    <w:rsid w:val="00D3366C"/>
    <w:rsid w:val="00D33E78"/>
    <w:rsid w:val="00D33E79"/>
    <w:rsid w:val="00D33EF5"/>
    <w:rsid w:val="00D34257"/>
    <w:rsid w:val="00D3439B"/>
    <w:rsid w:val="00D344EA"/>
    <w:rsid w:val="00D34968"/>
    <w:rsid w:val="00D349D3"/>
    <w:rsid w:val="00D34B64"/>
    <w:rsid w:val="00D34C94"/>
    <w:rsid w:val="00D34DFA"/>
    <w:rsid w:val="00D34F40"/>
    <w:rsid w:val="00D35020"/>
    <w:rsid w:val="00D3505C"/>
    <w:rsid w:val="00D3513E"/>
    <w:rsid w:val="00D35366"/>
    <w:rsid w:val="00D3538E"/>
    <w:rsid w:val="00D3557B"/>
    <w:rsid w:val="00D35CE2"/>
    <w:rsid w:val="00D35D8B"/>
    <w:rsid w:val="00D35DEF"/>
    <w:rsid w:val="00D360B4"/>
    <w:rsid w:val="00D36349"/>
    <w:rsid w:val="00D36439"/>
    <w:rsid w:val="00D36450"/>
    <w:rsid w:val="00D364C6"/>
    <w:rsid w:val="00D3670C"/>
    <w:rsid w:val="00D3684A"/>
    <w:rsid w:val="00D36D65"/>
    <w:rsid w:val="00D37067"/>
    <w:rsid w:val="00D373B5"/>
    <w:rsid w:val="00D374EC"/>
    <w:rsid w:val="00D37CD4"/>
    <w:rsid w:val="00D40214"/>
    <w:rsid w:val="00D4042B"/>
    <w:rsid w:val="00D404A6"/>
    <w:rsid w:val="00D40737"/>
    <w:rsid w:val="00D40766"/>
    <w:rsid w:val="00D40D83"/>
    <w:rsid w:val="00D40F55"/>
    <w:rsid w:val="00D41318"/>
    <w:rsid w:val="00D41391"/>
    <w:rsid w:val="00D41409"/>
    <w:rsid w:val="00D416DF"/>
    <w:rsid w:val="00D41AB4"/>
    <w:rsid w:val="00D41CF7"/>
    <w:rsid w:val="00D41E8E"/>
    <w:rsid w:val="00D421F5"/>
    <w:rsid w:val="00D42331"/>
    <w:rsid w:val="00D42578"/>
    <w:rsid w:val="00D425A9"/>
    <w:rsid w:val="00D427FF"/>
    <w:rsid w:val="00D42B01"/>
    <w:rsid w:val="00D42D3F"/>
    <w:rsid w:val="00D433E4"/>
    <w:rsid w:val="00D4379D"/>
    <w:rsid w:val="00D4394A"/>
    <w:rsid w:val="00D43B58"/>
    <w:rsid w:val="00D43C4D"/>
    <w:rsid w:val="00D43F7B"/>
    <w:rsid w:val="00D43FB3"/>
    <w:rsid w:val="00D441D3"/>
    <w:rsid w:val="00D44485"/>
    <w:rsid w:val="00D44715"/>
    <w:rsid w:val="00D447F6"/>
    <w:rsid w:val="00D44808"/>
    <w:rsid w:val="00D44828"/>
    <w:rsid w:val="00D449C8"/>
    <w:rsid w:val="00D44A50"/>
    <w:rsid w:val="00D44BAA"/>
    <w:rsid w:val="00D44D9E"/>
    <w:rsid w:val="00D454DB"/>
    <w:rsid w:val="00D455E5"/>
    <w:rsid w:val="00D45656"/>
    <w:rsid w:val="00D457F6"/>
    <w:rsid w:val="00D45993"/>
    <w:rsid w:val="00D45DC2"/>
    <w:rsid w:val="00D46283"/>
    <w:rsid w:val="00D46391"/>
    <w:rsid w:val="00D469D5"/>
    <w:rsid w:val="00D46BCB"/>
    <w:rsid w:val="00D46F55"/>
    <w:rsid w:val="00D470FE"/>
    <w:rsid w:val="00D4728D"/>
    <w:rsid w:val="00D474C3"/>
    <w:rsid w:val="00D4755F"/>
    <w:rsid w:val="00D47B37"/>
    <w:rsid w:val="00D47BEF"/>
    <w:rsid w:val="00D47D6D"/>
    <w:rsid w:val="00D47E51"/>
    <w:rsid w:val="00D47F7D"/>
    <w:rsid w:val="00D500E8"/>
    <w:rsid w:val="00D5029A"/>
    <w:rsid w:val="00D50A00"/>
    <w:rsid w:val="00D50D04"/>
    <w:rsid w:val="00D50E43"/>
    <w:rsid w:val="00D50F06"/>
    <w:rsid w:val="00D5118C"/>
    <w:rsid w:val="00D511D9"/>
    <w:rsid w:val="00D513C0"/>
    <w:rsid w:val="00D514F6"/>
    <w:rsid w:val="00D51795"/>
    <w:rsid w:val="00D51A5B"/>
    <w:rsid w:val="00D51DE1"/>
    <w:rsid w:val="00D51E32"/>
    <w:rsid w:val="00D51FDE"/>
    <w:rsid w:val="00D5252E"/>
    <w:rsid w:val="00D526B3"/>
    <w:rsid w:val="00D5279E"/>
    <w:rsid w:val="00D5298C"/>
    <w:rsid w:val="00D52A39"/>
    <w:rsid w:val="00D52C0D"/>
    <w:rsid w:val="00D52E8E"/>
    <w:rsid w:val="00D531B8"/>
    <w:rsid w:val="00D53292"/>
    <w:rsid w:val="00D5355E"/>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474"/>
    <w:rsid w:val="00D60774"/>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3F"/>
    <w:rsid w:val="00D61B4E"/>
    <w:rsid w:val="00D61B5B"/>
    <w:rsid w:val="00D61B83"/>
    <w:rsid w:val="00D61ED7"/>
    <w:rsid w:val="00D627A0"/>
    <w:rsid w:val="00D62979"/>
    <w:rsid w:val="00D62F1E"/>
    <w:rsid w:val="00D63073"/>
    <w:rsid w:val="00D63277"/>
    <w:rsid w:val="00D63446"/>
    <w:rsid w:val="00D635E6"/>
    <w:rsid w:val="00D6360E"/>
    <w:rsid w:val="00D63692"/>
    <w:rsid w:val="00D636F4"/>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270"/>
    <w:rsid w:val="00D6746A"/>
    <w:rsid w:val="00D6765A"/>
    <w:rsid w:val="00D676C7"/>
    <w:rsid w:val="00D6783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7B"/>
    <w:rsid w:val="00D73183"/>
    <w:rsid w:val="00D73319"/>
    <w:rsid w:val="00D736A7"/>
    <w:rsid w:val="00D7377F"/>
    <w:rsid w:val="00D73885"/>
    <w:rsid w:val="00D738D0"/>
    <w:rsid w:val="00D7394E"/>
    <w:rsid w:val="00D740C3"/>
    <w:rsid w:val="00D7417B"/>
    <w:rsid w:val="00D74676"/>
    <w:rsid w:val="00D746E6"/>
    <w:rsid w:val="00D74A65"/>
    <w:rsid w:val="00D74B3B"/>
    <w:rsid w:val="00D74BCE"/>
    <w:rsid w:val="00D75304"/>
    <w:rsid w:val="00D7542F"/>
    <w:rsid w:val="00D7573D"/>
    <w:rsid w:val="00D75757"/>
    <w:rsid w:val="00D757ED"/>
    <w:rsid w:val="00D758ED"/>
    <w:rsid w:val="00D75A59"/>
    <w:rsid w:val="00D75AF4"/>
    <w:rsid w:val="00D75CE5"/>
    <w:rsid w:val="00D75FFF"/>
    <w:rsid w:val="00D760C1"/>
    <w:rsid w:val="00D76133"/>
    <w:rsid w:val="00D76152"/>
    <w:rsid w:val="00D765C0"/>
    <w:rsid w:val="00D7662F"/>
    <w:rsid w:val="00D766CA"/>
    <w:rsid w:val="00D7680C"/>
    <w:rsid w:val="00D76B11"/>
    <w:rsid w:val="00D76E80"/>
    <w:rsid w:val="00D77219"/>
    <w:rsid w:val="00D77263"/>
    <w:rsid w:val="00D772B8"/>
    <w:rsid w:val="00D772BE"/>
    <w:rsid w:val="00D77764"/>
    <w:rsid w:val="00D7778E"/>
    <w:rsid w:val="00D778A3"/>
    <w:rsid w:val="00D77A52"/>
    <w:rsid w:val="00D77A96"/>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6D"/>
    <w:rsid w:val="00D84F85"/>
    <w:rsid w:val="00D853AA"/>
    <w:rsid w:val="00D85631"/>
    <w:rsid w:val="00D85744"/>
    <w:rsid w:val="00D85D4A"/>
    <w:rsid w:val="00D866B0"/>
    <w:rsid w:val="00D866FA"/>
    <w:rsid w:val="00D86A1E"/>
    <w:rsid w:val="00D86CB4"/>
    <w:rsid w:val="00D86FC6"/>
    <w:rsid w:val="00D872A9"/>
    <w:rsid w:val="00D873EF"/>
    <w:rsid w:val="00D876A6"/>
    <w:rsid w:val="00D87796"/>
    <w:rsid w:val="00D87A1F"/>
    <w:rsid w:val="00D87B1D"/>
    <w:rsid w:val="00D90004"/>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BCC"/>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6A"/>
    <w:rsid w:val="00D93F18"/>
    <w:rsid w:val="00D9400A"/>
    <w:rsid w:val="00D945E6"/>
    <w:rsid w:val="00D94AA2"/>
    <w:rsid w:val="00D95157"/>
    <w:rsid w:val="00D95378"/>
    <w:rsid w:val="00D95487"/>
    <w:rsid w:val="00D95675"/>
    <w:rsid w:val="00D959CB"/>
    <w:rsid w:val="00D95C43"/>
    <w:rsid w:val="00D95D78"/>
    <w:rsid w:val="00D95F2A"/>
    <w:rsid w:val="00D96119"/>
    <w:rsid w:val="00D962E4"/>
    <w:rsid w:val="00D963B1"/>
    <w:rsid w:val="00D96509"/>
    <w:rsid w:val="00D9697E"/>
    <w:rsid w:val="00D971B0"/>
    <w:rsid w:val="00D974FE"/>
    <w:rsid w:val="00D97A93"/>
    <w:rsid w:val="00D97EDD"/>
    <w:rsid w:val="00D97FF4"/>
    <w:rsid w:val="00DA0468"/>
    <w:rsid w:val="00DA05C5"/>
    <w:rsid w:val="00DA0E14"/>
    <w:rsid w:val="00DA10E9"/>
    <w:rsid w:val="00DA110C"/>
    <w:rsid w:val="00DA12D2"/>
    <w:rsid w:val="00DA1392"/>
    <w:rsid w:val="00DA140A"/>
    <w:rsid w:val="00DA1AC3"/>
    <w:rsid w:val="00DA1B78"/>
    <w:rsid w:val="00DA1DF2"/>
    <w:rsid w:val="00DA1E99"/>
    <w:rsid w:val="00DA1F5C"/>
    <w:rsid w:val="00DA201E"/>
    <w:rsid w:val="00DA2223"/>
    <w:rsid w:val="00DA24EF"/>
    <w:rsid w:val="00DA27BA"/>
    <w:rsid w:val="00DA32E5"/>
    <w:rsid w:val="00DA3377"/>
    <w:rsid w:val="00DA3427"/>
    <w:rsid w:val="00DA34DA"/>
    <w:rsid w:val="00DA36C9"/>
    <w:rsid w:val="00DA38EE"/>
    <w:rsid w:val="00DA3B5C"/>
    <w:rsid w:val="00DA3CCC"/>
    <w:rsid w:val="00DA4119"/>
    <w:rsid w:val="00DA41EA"/>
    <w:rsid w:val="00DA437C"/>
    <w:rsid w:val="00DA43D8"/>
    <w:rsid w:val="00DA4453"/>
    <w:rsid w:val="00DA4476"/>
    <w:rsid w:val="00DA44A0"/>
    <w:rsid w:val="00DA489C"/>
    <w:rsid w:val="00DA48B8"/>
    <w:rsid w:val="00DA4A74"/>
    <w:rsid w:val="00DA4BF2"/>
    <w:rsid w:val="00DA4C71"/>
    <w:rsid w:val="00DA5489"/>
    <w:rsid w:val="00DA575A"/>
    <w:rsid w:val="00DA59FB"/>
    <w:rsid w:val="00DA5BF7"/>
    <w:rsid w:val="00DA5D6F"/>
    <w:rsid w:val="00DA6187"/>
    <w:rsid w:val="00DA6492"/>
    <w:rsid w:val="00DA6A6A"/>
    <w:rsid w:val="00DA6D15"/>
    <w:rsid w:val="00DA7147"/>
    <w:rsid w:val="00DA76DF"/>
    <w:rsid w:val="00DA7719"/>
    <w:rsid w:val="00DA7961"/>
    <w:rsid w:val="00DA7DA6"/>
    <w:rsid w:val="00DA7E32"/>
    <w:rsid w:val="00DA7EBC"/>
    <w:rsid w:val="00DA7F79"/>
    <w:rsid w:val="00DB04A3"/>
    <w:rsid w:val="00DB05B6"/>
    <w:rsid w:val="00DB0690"/>
    <w:rsid w:val="00DB06E5"/>
    <w:rsid w:val="00DB0704"/>
    <w:rsid w:val="00DB0706"/>
    <w:rsid w:val="00DB0790"/>
    <w:rsid w:val="00DB0925"/>
    <w:rsid w:val="00DB0965"/>
    <w:rsid w:val="00DB0B05"/>
    <w:rsid w:val="00DB0B21"/>
    <w:rsid w:val="00DB0C28"/>
    <w:rsid w:val="00DB0C51"/>
    <w:rsid w:val="00DB0C7E"/>
    <w:rsid w:val="00DB0DEF"/>
    <w:rsid w:val="00DB1188"/>
    <w:rsid w:val="00DB1992"/>
    <w:rsid w:val="00DB1C93"/>
    <w:rsid w:val="00DB1EE9"/>
    <w:rsid w:val="00DB2062"/>
    <w:rsid w:val="00DB2198"/>
    <w:rsid w:val="00DB253D"/>
    <w:rsid w:val="00DB2558"/>
    <w:rsid w:val="00DB2668"/>
    <w:rsid w:val="00DB2735"/>
    <w:rsid w:val="00DB2876"/>
    <w:rsid w:val="00DB2A37"/>
    <w:rsid w:val="00DB2BC2"/>
    <w:rsid w:val="00DB2D71"/>
    <w:rsid w:val="00DB3033"/>
    <w:rsid w:val="00DB31A4"/>
    <w:rsid w:val="00DB3246"/>
    <w:rsid w:val="00DB32E2"/>
    <w:rsid w:val="00DB32ED"/>
    <w:rsid w:val="00DB35A8"/>
    <w:rsid w:val="00DB3BC2"/>
    <w:rsid w:val="00DB3C4A"/>
    <w:rsid w:val="00DB3C63"/>
    <w:rsid w:val="00DB3E28"/>
    <w:rsid w:val="00DB3FE4"/>
    <w:rsid w:val="00DB4295"/>
    <w:rsid w:val="00DB441E"/>
    <w:rsid w:val="00DB467B"/>
    <w:rsid w:val="00DB484F"/>
    <w:rsid w:val="00DB4867"/>
    <w:rsid w:val="00DB4872"/>
    <w:rsid w:val="00DB4AD2"/>
    <w:rsid w:val="00DB4EC0"/>
    <w:rsid w:val="00DB52CF"/>
    <w:rsid w:val="00DB5476"/>
    <w:rsid w:val="00DB568D"/>
    <w:rsid w:val="00DB57E1"/>
    <w:rsid w:val="00DB5992"/>
    <w:rsid w:val="00DB5BC5"/>
    <w:rsid w:val="00DB5CF4"/>
    <w:rsid w:val="00DB5D3D"/>
    <w:rsid w:val="00DB6051"/>
    <w:rsid w:val="00DB61E3"/>
    <w:rsid w:val="00DB639C"/>
    <w:rsid w:val="00DB6593"/>
    <w:rsid w:val="00DB6710"/>
    <w:rsid w:val="00DB67D1"/>
    <w:rsid w:val="00DB6A19"/>
    <w:rsid w:val="00DB6A8A"/>
    <w:rsid w:val="00DB6B4F"/>
    <w:rsid w:val="00DB7204"/>
    <w:rsid w:val="00DB722E"/>
    <w:rsid w:val="00DB7299"/>
    <w:rsid w:val="00DB7D90"/>
    <w:rsid w:val="00DB7EE6"/>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9B"/>
    <w:rsid w:val="00DC1EBD"/>
    <w:rsid w:val="00DC2208"/>
    <w:rsid w:val="00DC22F2"/>
    <w:rsid w:val="00DC233A"/>
    <w:rsid w:val="00DC2384"/>
    <w:rsid w:val="00DC23CA"/>
    <w:rsid w:val="00DC2408"/>
    <w:rsid w:val="00DC252F"/>
    <w:rsid w:val="00DC25B0"/>
    <w:rsid w:val="00DC25B3"/>
    <w:rsid w:val="00DC263C"/>
    <w:rsid w:val="00DC26FC"/>
    <w:rsid w:val="00DC296D"/>
    <w:rsid w:val="00DC29D5"/>
    <w:rsid w:val="00DC2BD7"/>
    <w:rsid w:val="00DC2E1B"/>
    <w:rsid w:val="00DC3262"/>
    <w:rsid w:val="00DC33E9"/>
    <w:rsid w:val="00DC34BE"/>
    <w:rsid w:val="00DC36ED"/>
    <w:rsid w:val="00DC36F8"/>
    <w:rsid w:val="00DC3B90"/>
    <w:rsid w:val="00DC3C50"/>
    <w:rsid w:val="00DC40EB"/>
    <w:rsid w:val="00DC41A8"/>
    <w:rsid w:val="00DC4229"/>
    <w:rsid w:val="00DC4597"/>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3B"/>
    <w:rsid w:val="00DC7A92"/>
    <w:rsid w:val="00DC7D83"/>
    <w:rsid w:val="00DD009F"/>
    <w:rsid w:val="00DD013F"/>
    <w:rsid w:val="00DD014C"/>
    <w:rsid w:val="00DD0550"/>
    <w:rsid w:val="00DD0605"/>
    <w:rsid w:val="00DD06F3"/>
    <w:rsid w:val="00DD0B8F"/>
    <w:rsid w:val="00DD0C4B"/>
    <w:rsid w:val="00DD0D6D"/>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972"/>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4ECA"/>
    <w:rsid w:val="00DD50A7"/>
    <w:rsid w:val="00DD5115"/>
    <w:rsid w:val="00DD5488"/>
    <w:rsid w:val="00DD5835"/>
    <w:rsid w:val="00DD5CA0"/>
    <w:rsid w:val="00DD5D0B"/>
    <w:rsid w:val="00DD5E87"/>
    <w:rsid w:val="00DD5EDC"/>
    <w:rsid w:val="00DD5F74"/>
    <w:rsid w:val="00DD6051"/>
    <w:rsid w:val="00DD613B"/>
    <w:rsid w:val="00DD6594"/>
    <w:rsid w:val="00DD68C3"/>
    <w:rsid w:val="00DD6B59"/>
    <w:rsid w:val="00DD6BE9"/>
    <w:rsid w:val="00DD6E78"/>
    <w:rsid w:val="00DD6F96"/>
    <w:rsid w:val="00DD6F9E"/>
    <w:rsid w:val="00DD6FB1"/>
    <w:rsid w:val="00DD74D8"/>
    <w:rsid w:val="00DD74F8"/>
    <w:rsid w:val="00DD7818"/>
    <w:rsid w:val="00DD7A12"/>
    <w:rsid w:val="00DE027D"/>
    <w:rsid w:val="00DE08CC"/>
    <w:rsid w:val="00DE0B62"/>
    <w:rsid w:val="00DE0C45"/>
    <w:rsid w:val="00DE0D72"/>
    <w:rsid w:val="00DE0F92"/>
    <w:rsid w:val="00DE0FA9"/>
    <w:rsid w:val="00DE1183"/>
    <w:rsid w:val="00DE1311"/>
    <w:rsid w:val="00DE1A9C"/>
    <w:rsid w:val="00DE1C38"/>
    <w:rsid w:val="00DE1C76"/>
    <w:rsid w:val="00DE1D3C"/>
    <w:rsid w:val="00DE1DE5"/>
    <w:rsid w:val="00DE216C"/>
    <w:rsid w:val="00DE2373"/>
    <w:rsid w:val="00DE256A"/>
    <w:rsid w:val="00DE258D"/>
    <w:rsid w:val="00DE2685"/>
    <w:rsid w:val="00DE2BDE"/>
    <w:rsid w:val="00DE2D31"/>
    <w:rsid w:val="00DE2E58"/>
    <w:rsid w:val="00DE2E65"/>
    <w:rsid w:val="00DE2E6E"/>
    <w:rsid w:val="00DE3404"/>
    <w:rsid w:val="00DE352F"/>
    <w:rsid w:val="00DE3562"/>
    <w:rsid w:val="00DE3694"/>
    <w:rsid w:val="00DE37FC"/>
    <w:rsid w:val="00DE3943"/>
    <w:rsid w:val="00DE39C3"/>
    <w:rsid w:val="00DE3A44"/>
    <w:rsid w:val="00DE3A8E"/>
    <w:rsid w:val="00DE3AEE"/>
    <w:rsid w:val="00DE3B99"/>
    <w:rsid w:val="00DE3C7C"/>
    <w:rsid w:val="00DE3C84"/>
    <w:rsid w:val="00DE3DD2"/>
    <w:rsid w:val="00DE3E96"/>
    <w:rsid w:val="00DE4011"/>
    <w:rsid w:val="00DE428D"/>
    <w:rsid w:val="00DE4390"/>
    <w:rsid w:val="00DE462E"/>
    <w:rsid w:val="00DE4799"/>
    <w:rsid w:val="00DE491A"/>
    <w:rsid w:val="00DE4B75"/>
    <w:rsid w:val="00DE4D43"/>
    <w:rsid w:val="00DE509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F4A"/>
    <w:rsid w:val="00DF0016"/>
    <w:rsid w:val="00DF0661"/>
    <w:rsid w:val="00DF0734"/>
    <w:rsid w:val="00DF0A41"/>
    <w:rsid w:val="00DF0BC8"/>
    <w:rsid w:val="00DF0CE0"/>
    <w:rsid w:val="00DF1549"/>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19"/>
    <w:rsid w:val="00DF36D4"/>
    <w:rsid w:val="00DF390C"/>
    <w:rsid w:val="00DF3A96"/>
    <w:rsid w:val="00DF3CF5"/>
    <w:rsid w:val="00DF4362"/>
    <w:rsid w:val="00DF4457"/>
    <w:rsid w:val="00DF44B1"/>
    <w:rsid w:val="00DF4990"/>
    <w:rsid w:val="00DF4A72"/>
    <w:rsid w:val="00DF4B13"/>
    <w:rsid w:val="00DF4BBD"/>
    <w:rsid w:val="00DF4EBC"/>
    <w:rsid w:val="00DF5002"/>
    <w:rsid w:val="00DF53DE"/>
    <w:rsid w:val="00DF5BB7"/>
    <w:rsid w:val="00DF5BFF"/>
    <w:rsid w:val="00DF5C15"/>
    <w:rsid w:val="00DF6089"/>
    <w:rsid w:val="00DF6105"/>
    <w:rsid w:val="00DF6160"/>
    <w:rsid w:val="00DF638C"/>
    <w:rsid w:val="00DF67B9"/>
    <w:rsid w:val="00DF69C2"/>
    <w:rsid w:val="00DF6B1F"/>
    <w:rsid w:val="00DF6CB3"/>
    <w:rsid w:val="00DF7171"/>
    <w:rsid w:val="00DF7274"/>
    <w:rsid w:val="00DF72FC"/>
    <w:rsid w:val="00DF72FD"/>
    <w:rsid w:val="00DF74FF"/>
    <w:rsid w:val="00DF751E"/>
    <w:rsid w:val="00DF76C1"/>
    <w:rsid w:val="00DF7816"/>
    <w:rsid w:val="00DF7B84"/>
    <w:rsid w:val="00DF7DE4"/>
    <w:rsid w:val="00DF7E78"/>
    <w:rsid w:val="00DF7FE6"/>
    <w:rsid w:val="00E00324"/>
    <w:rsid w:val="00E004A4"/>
    <w:rsid w:val="00E006B5"/>
    <w:rsid w:val="00E00995"/>
    <w:rsid w:val="00E009D5"/>
    <w:rsid w:val="00E009D8"/>
    <w:rsid w:val="00E009F7"/>
    <w:rsid w:val="00E00FE0"/>
    <w:rsid w:val="00E01364"/>
    <w:rsid w:val="00E0139C"/>
    <w:rsid w:val="00E0164E"/>
    <w:rsid w:val="00E0192B"/>
    <w:rsid w:val="00E0196A"/>
    <w:rsid w:val="00E01C26"/>
    <w:rsid w:val="00E02176"/>
    <w:rsid w:val="00E023B2"/>
    <w:rsid w:val="00E029F3"/>
    <w:rsid w:val="00E02B96"/>
    <w:rsid w:val="00E03380"/>
    <w:rsid w:val="00E033B0"/>
    <w:rsid w:val="00E0370C"/>
    <w:rsid w:val="00E03734"/>
    <w:rsid w:val="00E03778"/>
    <w:rsid w:val="00E03C00"/>
    <w:rsid w:val="00E03F2A"/>
    <w:rsid w:val="00E04103"/>
    <w:rsid w:val="00E041B0"/>
    <w:rsid w:val="00E044D6"/>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5B"/>
    <w:rsid w:val="00E11BFF"/>
    <w:rsid w:val="00E1211F"/>
    <w:rsid w:val="00E1224C"/>
    <w:rsid w:val="00E122C8"/>
    <w:rsid w:val="00E123E5"/>
    <w:rsid w:val="00E12429"/>
    <w:rsid w:val="00E12480"/>
    <w:rsid w:val="00E1278F"/>
    <w:rsid w:val="00E12A72"/>
    <w:rsid w:val="00E12AEA"/>
    <w:rsid w:val="00E12AEF"/>
    <w:rsid w:val="00E12CAB"/>
    <w:rsid w:val="00E12F38"/>
    <w:rsid w:val="00E14225"/>
    <w:rsid w:val="00E1446D"/>
    <w:rsid w:val="00E14AFE"/>
    <w:rsid w:val="00E14CF8"/>
    <w:rsid w:val="00E14D4E"/>
    <w:rsid w:val="00E14E07"/>
    <w:rsid w:val="00E14F04"/>
    <w:rsid w:val="00E14FDE"/>
    <w:rsid w:val="00E15370"/>
    <w:rsid w:val="00E155E6"/>
    <w:rsid w:val="00E15622"/>
    <w:rsid w:val="00E1562A"/>
    <w:rsid w:val="00E15AEC"/>
    <w:rsid w:val="00E15D6A"/>
    <w:rsid w:val="00E15EC0"/>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5BF"/>
    <w:rsid w:val="00E20827"/>
    <w:rsid w:val="00E20935"/>
    <w:rsid w:val="00E20A96"/>
    <w:rsid w:val="00E20B52"/>
    <w:rsid w:val="00E20CB6"/>
    <w:rsid w:val="00E20E7A"/>
    <w:rsid w:val="00E2108F"/>
    <w:rsid w:val="00E214C1"/>
    <w:rsid w:val="00E2165B"/>
    <w:rsid w:val="00E218C0"/>
    <w:rsid w:val="00E219A8"/>
    <w:rsid w:val="00E21AFB"/>
    <w:rsid w:val="00E21BA2"/>
    <w:rsid w:val="00E21C27"/>
    <w:rsid w:val="00E21E33"/>
    <w:rsid w:val="00E21E9C"/>
    <w:rsid w:val="00E220EB"/>
    <w:rsid w:val="00E22244"/>
    <w:rsid w:val="00E22345"/>
    <w:rsid w:val="00E226AD"/>
    <w:rsid w:val="00E229AE"/>
    <w:rsid w:val="00E22A39"/>
    <w:rsid w:val="00E22DA8"/>
    <w:rsid w:val="00E23087"/>
    <w:rsid w:val="00E232D1"/>
    <w:rsid w:val="00E23424"/>
    <w:rsid w:val="00E234BB"/>
    <w:rsid w:val="00E23770"/>
    <w:rsid w:val="00E238B6"/>
    <w:rsid w:val="00E2399D"/>
    <w:rsid w:val="00E23C90"/>
    <w:rsid w:val="00E23D2F"/>
    <w:rsid w:val="00E23EC3"/>
    <w:rsid w:val="00E23F01"/>
    <w:rsid w:val="00E23F47"/>
    <w:rsid w:val="00E23F88"/>
    <w:rsid w:val="00E23FC3"/>
    <w:rsid w:val="00E23FC8"/>
    <w:rsid w:val="00E24812"/>
    <w:rsid w:val="00E24894"/>
    <w:rsid w:val="00E24939"/>
    <w:rsid w:val="00E24B33"/>
    <w:rsid w:val="00E24B97"/>
    <w:rsid w:val="00E24BEC"/>
    <w:rsid w:val="00E24C5E"/>
    <w:rsid w:val="00E24EC4"/>
    <w:rsid w:val="00E2515E"/>
    <w:rsid w:val="00E2538D"/>
    <w:rsid w:val="00E25492"/>
    <w:rsid w:val="00E25D6B"/>
    <w:rsid w:val="00E25F4B"/>
    <w:rsid w:val="00E260AE"/>
    <w:rsid w:val="00E262B9"/>
    <w:rsid w:val="00E262E7"/>
    <w:rsid w:val="00E262F6"/>
    <w:rsid w:val="00E264D8"/>
    <w:rsid w:val="00E264E9"/>
    <w:rsid w:val="00E2657A"/>
    <w:rsid w:val="00E2665C"/>
    <w:rsid w:val="00E26850"/>
    <w:rsid w:val="00E26BDD"/>
    <w:rsid w:val="00E27306"/>
    <w:rsid w:val="00E2766E"/>
    <w:rsid w:val="00E277E5"/>
    <w:rsid w:val="00E27820"/>
    <w:rsid w:val="00E27A5A"/>
    <w:rsid w:val="00E3015F"/>
    <w:rsid w:val="00E302A8"/>
    <w:rsid w:val="00E30383"/>
    <w:rsid w:val="00E30952"/>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7FB"/>
    <w:rsid w:val="00E32873"/>
    <w:rsid w:val="00E32972"/>
    <w:rsid w:val="00E32A2B"/>
    <w:rsid w:val="00E32BAE"/>
    <w:rsid w:val="00E32DA4"/>
    <w:rsid w:val="00E32F9C"/>
    <w:rsid w:val="00E33150"/>
    <w:rsid w:val="00E33159"/>
    <w:rsid w:val="00E333EF"/>
    <w:rsid w:val="00E336D3"/>
    <w:rsid w:val="00E3382C"/>
    <w:rsid w:val="00E33C22"/>
    <w:rsid w:val="00E33D57"/>
    <w:rsid w:val="00E340E8"/>
    <w:rsid w:val="00E3411A"/>
    <w:rsid w:val="00E34522"/>
    <w:rsid w:val="00E34AAB"/>
    <w:rsid w:val="00E34C5D"/>
    <w:rsid w:val="00E34D0D"/>
    <w:rsid w:val="00E34E1B"/>
    <w:rsid w:val="00E34FCF"/>
    <w:rsid w:val="00E3505A"/>
    <w:rsid w:val="00E3521E"/>
    <w:rsid w:val="00E352FB"/>
    <w:rsid w:val="00E3530C"/>
    <w:rsid w:val="00E353D2"/>
    <w:rsid w:val="00E3570C"/>
    <w:rsid w:val="00E35977"/>
    <w:rsid w:val="00E35C6F"/>
    <w:rsid w:val="00E35DB7"/>
    <w:rsid w:val="00E36071"/>
    <w:rsid w:val="00E36072"/>
    <w:rsid w:val="00E36194"/>
    <w:rsid w:val="00E36395"/>
    <w:rsid w:val="00E3644C"/>
    <w:rsid w:val="00E36555"/>
    <w:rsid w:val="00E368C7"/>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0E74"/>
    <w:rsid w:val="00E40F6A"/>
    <w:rsid w:val="00E40FFD"/>
    <w:rsid w:val="00E41033"/>
    <w:rsid w:val="00E4110E"/>
    <w:rsid w:val="00E413BD"/>
    <w:rsid w:val="00E41740"/>
    <w:rsid w:val="00E41A0B"/>
    <w:rsid w:val="00E41B90"/>
    <w:rsid w:val="00E41BFE"/>
    <w:rsid w:val="00E41C2A"/>
    <w:rsid w:val="00E41E26"/>
    <w:rsid w:val="00E41ED5"/>
    <w:rsid w:val="00E42356"/>
    <w:rsid w:val="00E42619"/>
    <w:rsid w:val="00E42E81"/>
    <w:rsid w:val="00E42EAE"/>
    <w:rsid w:val="00E43000"/>
    <w:rsid w:val="00E434E5"/>
    <w:rsid w:val="00E434F6"/>
    <w:rsid w:val="00E438AE"/>
    <w:rsid w:val="00E439B6"/>
    <w:rsid w:val="00E43EF5"/>
    <w:rsid w:val="00E4450C"/>
    <w:rsid w:val="00E44546"/>
    <w:rsid w:val="00E4464E"/>
    <w:rsid w:val="00E4475B"/>
    <w:rsid w:val="00E447A4"/>
    <w:rsid w:val="00E447D9"/>
    <w:rsid w:val="00E4483F"/>
    <w:rsid w:val="00E44888"/>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6FF8"/>
    <w:rsid w:val="00E47040"/>
    <w:rsid w:val="00E470AB"/>
    <w:rsid w:val="00E472E9"/>
    <w:rsid w:val="00E473E8"/>
    <w:rsid w:val="00E47643"/>
    <w:rsid w:val="00E47958"/>
    <w:rsid w:val="00E47C4F"/>
    <w:rsid w:val="00E47F54"/>
    <w:rsid w:val="00E50111"/>
    <w:rsid w:val="00E5054D"/>
    <w:rsid w:val="00E505F8"/>
    <w:rsid w:val="00E512FA"/>
    <w:rsid w:val="00E5148F"/>
    <w:rsid w:val="00E515D4"/>
    <w:rsid w:val="00E51CAD"/>
    <w:rsid w:val="00E51CB7"/>
    <w:rsid w:val="00E51CD4"/>
    <w:rsid w:val="00E51CD8"/>
    <w:rsid w:val="00E51EC3"/>
    <w:rsid w:val="00E51EEE"/>
    <w:rsid w:val="00E5209B"/>
    <w:rsid w:val="00E5214C"/>
    <w:rsid w:val="00E5222B"/>
    <w:rsid w:val="00E52354"/>
    <w:rsid w:val="00E52449"/>
    <w:rsid w:val="00E52707"/>
    <w:rsid w:val="00E52A86"/>
    <w:rsid w:val="00E52E54"/>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B26"/>
    <w:rsid w:val="00E54C91"/>
    <w:rsid w:val="00E54E54"/>
    <w:rsid w:val="00E54E60"/>
    <w:rsid w:val="00E54E9E"/>
    <w:rsid w:val="00E5502E"/>
    <w:rsid w:val="00E55495"/>
    <w:rsid w:val="00E55B9B"/>
    <w:rsid w:val="00E55F31"/>
    <w:rsid w:val="00E560B5"/>
    <w:rsid w:val="00E560DF"/>
    <w:rsid w:val="00E5633B"/>
    <w:rsid w:val="00E56488"/>
    <w:rsid w:val="00E566B1"/>
    <w:rsid w:val="00E5718F"/>
    <w:rsid w:val="00E57649"/>
    <w:rsid w:val="00E57654"/>
    <w:rsid w:val="00E5797A"/>
    <w:rsid w:val="00E57B86"/>
    <w:rsid w:val="00E57BBF"/>
    <w:rsid w:val="00E57CEB"/>
    <w:rsid w:val="00E57F43"/>
    <w:rsid w:val="00E57F59"/>
    <w:rsid w:val="00E57F9C"/>
    <w:rsid w:val="00E60058"/>
    <w:rsid w:val="00E60605"/>
    <w:rsid w:val="00E60649"/>
    <w:rsid w:val="00E60B0D"/>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52"/>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1F"/>
    <w:rsid w:val="00E675C3"/>
    <w:rsid w:val="00E67663"/>
    <w:rsid w:val="00E67693"/>
    <w:rsid w:val="00E67776"/>
    <w:rsid w:val="00E67F8A"/>
    <w:rsid w:val="00E701EE"/>
    <w:rsid w:val="00E7056D"/>
    <w:rsid w:val="00E705D6"/>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BDE"/>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4C4E"/>
    <w:rsid w:val="00E755A5"/>
    <w:rsid w:val="00E7563D"/>
    <w:rsid w:val="00E75988"/>
    <w:rsid w:val="00E75B2C"/>
    <w:rsid w:val="00E75D2E"/>
    <w:rsid w:val="00E75F51"/>
    <w:rsid w:val="00E76551"/>
    <w:rsid w:val="00E765C3"/>
    <w:rsid w:val="00E766A4"/>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36D"/>
    <w:rsid w:val="00E81718"/>
    <w:rsid w:val="00E818C5"/>
    <w:rsid w:val="00E81975"/>
    <w:rsid w:val="00E81DF6"/>
    <w:rsid w:val="00E82152"/>
    <w:rsid w:val="00E8228C"/>
    <w:rsid w:val="00E82608"/>
    <w:rsid w:val="00E826EF"/>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4E34"/>
    <w:rsid w:val="00E8512F"/>
    <w:rsid w:val="00E853AA"/>
    <w:rsid w:val="00E85EAA"/>
    <w:rsid w:val="00E85FE0"/>
    <w:rsid w:val="00E86126"/>
    <w:rsid w:val="00E86144"/>
    <w:rsid w:val="00E8625D"/>
    <w:rsid w:val="00E865EB"/>
    <w:rsid w:val="00E86662"/>
    <w:rsid w:val="00E86712"/>
    <w:rsid w:val="00E8673A"/>
    <w:rsid w:val="00E86839"/>
    <w:rsid w:val="00E86AC8"/>
    <w:rsid w:val="00E86B3A"/>
    <w:rsid w:val="00E86EF6"/>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5BE"/>
    <w:rsid w:val="00E92AC3"/>
    <w:rsid w:val="00E92AE4"/>
    <w:rsid w:val="00E932AF"/>
    <w:rsid w:val="00E935D2"/>
    <w:rsid w:val="00E93652"/>
    <w:rsid w:val="00E93765"/>
    <w:rsid w:val="00E938BF"/>
    <w:rsid w:val="00E939FE"/>
    <w:rsid w:val="00E94477"/>
    <w:rsid w:val="00E9449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78F"/>
    <w:rsid w:val="00E96814"/>
    <w:rsid w:val="00E96867"/>
    <w:rsid w:val="00E9688F"/>
    <w:rsid w:val="00E96D9A"/>
    <w:rsid w:val="00E96F9C"/>
    <w:rsid w:val="00E96FD2"/>
    <w:rsid w:val="00E97098"/>
    <w:rsid w:val="00E9736D"/>
    <w:rsid w:val="00E975DE"/>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2FF"/>
    <w:rsid w:val="00EA2319"/>
    <w:rsid w:val="00EA23FD"/>
    <w:rsid w:val="00EA250D"/>
    <w:rsid w:val="00EA2513"/>
    <w:rsid w:val="00EA2554"/>
    <w:rsid w:val="00EA2619"/>
    <w:rsid w:val="00EA2A41"/>
    <w:rsid w:val="00EA2AE0"/>
    <w:rsid w:val="00EA2F85"/>
    <w:rsid w:val="00EA3110"/>
    <w:rsid w:val="00EA319D"/>
    <w:rsid w:val="00EA3261"/>
    <w:rsid w:val="00EA33A6"/>
    <w:rsid w:val="00EA3676"/>
    <w:rsid w:val="00EA37D7"/>
    <w:rsid w:val="00EA3DAB"/>
    <w:rsid w:val="00EA3E2B"/>
    <w:rsid w:val="00EA3F07"/>
    <w:rsid w:val="00EA3F21"/>
    <w:rsid w:val="00EA4242"/>
    <w:rsid w:val="00EA4249"/>
    <w:rsid w:val="00EA431F"/>
    <w:rsid w:val="00EA44A3"/>
    <w:rsid w:val="00EA44DA"/>
    <w:rsid w:val="00EA4647"/>
    <w:rsid w:val="00EA5069"/>
    <w:rsid w:val="00EA5139"/>
    <w:rsid w:val="00EA51D0"/>
    <w:rsid w:val="00EA5420"/>
    <w:rsid w:val="00EA55E6"/>
    <w:rsid w:val="00EA578A"/>
    <w:rsid w:val="00EA57FB"/>
    <w:rsid w:val="00EA5CA3"/>
    <w:rsid w:val="00EA5DA1"/>
    <w:rsid w:val="00EA61D3"/>
    <w:rsid w:val="00EA632A"/>
    <w:rsid w:val="00EA636B"/>
    <w:rsid w:val="00EA6394"/>
    <w:rsid w:val="00EA656B"/>
    <w:rsid w:val="00EA6619"/>
    <w:rsid w:val="00EA6732"/>
    <w:rsid w:val="00EA6CFD"/>
    <w:rsid w:val="00EA6D2E"/>
    <w:rsid w:val="00EA6E07"/>
    <w:rsid w:val="00EA6F67"/>
    <w:rsid w:val="00EA6FE7"/>
    <w:rsid w:val="00EA7276"/>
    <w:rsid w:val="00EA73EB"/>
    <w:rsid w:val="00EA76F5"/>
    <w:rsid w:val="00EA77B8"/>
    <w:rsid w:val="00EA7834"/>
    <w:rsid w:val="00EA7BD5"/>
    <w:rsid w:val="00EA7D28"/>
    <w:rsid w:val="00EA7E26"/>
    <w:rsid w:val="00EA7E98"/>
    <w:rsid w:val="00EB0896"/>
    <w:rsid w:val="00EB0B5D"/>
    <w:rsid w:val="00EB0E79"/>
    <w:rsid w:val="00EB175A"/>
    <w:rsid w:val="00EB18FC"/>
    <w:rsid w:val="00EB196C"/>
    <w:rsid w:val="00EB1A49"/>
    <w:rsid w:val="00EB1DD0"/>
    <w:rsid w:val="00EB1F55"/>
    <w:rsid w:val="00EB204E"/>
    <w:rsid w:val="00EB26ED"/>
    <w:rsid w:val="00EB286D"/>
    <w:rsid w:val="00EB2AC0"/>
    <w:rsid w:val="00EB2CD4"/>
    <w:rsid w:val="00EB2D9E"/>
    <w:rsid w:val="00EB2E9D"/>
    <w:rsid w:val="00EB2F36"/>
    <w:rsid w:val="00EB2F87"/>
    <w:rsid w:val="00EB311E"/>
    <w:rsid w:val="00EB32E0"/>
    <w:rsid w:val="00EB359A"/>
    <w:rsid w:val="00EB36D1"/>
    <w:rsid w:val="00EB3745"/>
    <w:rsid w:val="00EB3B12"/>
    <w:rsid w:val="00EB3CD5"/>
    <w:rsid w:val="00EB409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C"/>
    <w:rsid w:val="00EB5FCF"/>
    <w:rsid w:val="00EB6411"/>
    <w:rsid w:val="00EB6460"/>
    <w:rsid w:val="00EB6554"/>
    <w:rsid w:val="00EB68ED"/>
    <w:rsid w:val="00EB6935"/>
    <w:rsid w:val="00EB6A9C"/>
    <w:rsid w:val="00EB6ABA"/>
    <w:rsid w:val="00EB6AEC"/>
    <w:rsid w:val="00EB6D42"/>
    <w:rsid w:val="00EB6E88"/>
    <w:rsid w:val="00EB6F49"/>
    <w:rsid w:val="00EB7134"/>
    <w:rsid w:val="00EB7192"/>
    <w:rsid w:val="00EB71B9"/>
    <w:rsid w:val="00EB7262"/>
    <w:rsid w:val="00EB7317"/>
    <w:rsid w:val="00EB7372"/>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628"/>
    <w:rsid w:val="00EC2827"/>
    <w:rsid w:val="00EC295E"/>
    <w:rsid w:val="00EC2C78"/>
    <w:rsid w:val="00EC2D1B"/>
    <w:rsid w:val="00EC2D39"/>
    <w:rsid w:val="00EC2EC6"/>
    <w:rsid w:val="00EC3106"/>
    <w:rsid w:val="00EC3370"/>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5A1"/>
    <w:rsid w:val="00EC57CA"/>
    <w:rsid w:val="00EC5C76"/>
    <w:rsid w:val="00EC6055"/>
    <w:rsid w:val="00EC678F"/>
    <w:rsid w:val="00EC6AAC"/>
    <w:rsid w:val="00EC6BFC"/>
    <w:rsid w:val="00EC6C54"/>
    <w:rsid w:val="00EC6E9E"/>
    <w:rsid w:val="00EC6ED9"/>
    <w:rsid w:val="00EC70DE"/>
    <w:rsid w:val="00EC7188"/>
    <w:rsid w:val="00EC74A5"/>
    <w:rsid w:val="00EC77D3"/>
    <w:rsid w:val="00EC7974"/>
    <w:rsid w:val="00EC7BD8"/>
    <w:rsid w:val="00EC7D03"/>
    <w:rsid w:val="00EC7DE9"/>
    <w:rsid w:val="00ED003D"/>
    <w:rsid w:val="00ED0140"/>
    <w:rsid w:val="00ED0450"/>
    <w:rsid w:val="00ED080C"/>
    <w:rsid w:val="00ED0A32"/>
    <w:rsid w:val="00ED0A45"/>
    <w:rsid w:val="00ED0C9D"/>
    <w:rsid w:val="00ED0CD4"/>
    <w:rsid w:val="00ED1047"/>
    <w:rsid w:val="00ED1298"/>
    <w:rsid w:val="00ED16F3"/>
    <w:rsid w:val="00ED17D0"/>
    <w:rsid w:val="00ED17FD"/>
    <w:rsid w:val="00ED1865"/>
    <w:rsid w:val="00ED195A"/>
    <w:rsid w:val="00ED196B"/>
    <w:rsid w:val="00ED1A54"/>
    <w:rsid w:val="00ED1A99"/>
    <w:rsid w:val="00ED1C7E"/>
    <w:rsid w:val="00ED1E87"/>
    <w:rsid w:val="00ED2156"/>
    <w:rsid w:val="00ED2750"/>
    <w:rsid w:val="00ED27C7"/>
    <w:rsid w:val="00ED2876"/>
    <w:rsid w:val="00ED294F"/>
    <w:rsid w:val="00ED2963"/>
    <w:rsid w:val="00ED2A97"/>
    <w:rsid w:val="00ED2BAC"/>
    <w:rsid w:val="00ED2DBB"/>
    <w:rsid w:val="00ED2E35"/>
    <w:rsid w:val="00ED30A5"/>
    <w:rsid w:val="00ED3216"/>
    <w:rsid w:val="00ED3623"/>
    <w:rsid w:val="00ED37F9"/>
    <w:rsid w:val="00ED3878"/>
    <w:rsid w:val="00ED3C08"/>
    <w:rsid w:val="00ED3CA8"/>
    <w:rsid w:val="00ED3D04"/>
    <w:rsid w:val="00ED3EF8"/>
    <w:rsid w:val="00ED401D"/>
    <w:rsid w:val="00ED429B"/>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5C5C"/>
    <w:rsid w:val="00ED646D"/>
    <w:rsid w:val="00ED66C2"/>
    <w:rsid w:val="00ED68B6"/>
    <w:rsid w:val="00ED6901"/>
    <w:rsid w:val="00ED6B7B"/>
    <w:rsid w:val="00ED6CAF"/>
    <w:rsid w:val="00ED6CB3"/>
    <w:rsid w:val="00ED7005"/>
    <w:rsid w:val="00ED70D2"/>
    <w:rsid w:val="00ED714D"/>
    <w:rsid w:val="00ED7353"/>
    <w:rsid w:val="00ED737C"/>
    <w:rsid w:val="00ED76A1"/>
    <w:rsid w:val="00ED77A6"/>
    <w:rsid w:val="00ED7CBB"/>
    <w:rsid w:val="00ED7CF1"/>
    <w:rsid w:val="00EE0152"/>
    <w:rsid w:val="00EE01CD"/>
    <w:rsid w:val="00EE0542"/>
    <w:rsid w:val="00EE0577"/>
    <w:rsid w:val="00EE0815"/>
    <w:rsid w:val="00EE0B19"/>
    <w:rsid w:val="00EE0B72"/>
    <w:rsid w:val="00EE0F04"/>
    <w:rsid w:val="00EE0F4D"/>
    <w:rsid w:val="00EE0FA1"/>
    <w:rsid w:val="00EE1124"/>
    <w:rsid w:val="00EE15AD"/>
    <w:rsid w:val="00EE16AB"/>
    <w:rsid w:val="00EE17C9"/>
    <w:rsid w:val="00EE187A"/>
    <w:rsid w:val="00EE1D72"/>
    <w:rsid w:val="00EE2AEC"/>
    <w:rsid w:val="00EE2B82"/>
    <w:rsid w:val="00EE2EEB"/>
    <w:rsid w:val="00EE3A5C"/>
    <w:rsid w:val="00EE3CA4"/>
    <w:rsid w:val="00EE3CB5"/>
    <w:rsid w:val="00EE3F8A"/>
    <w:rsid w:val="00EE4137"/>
    <w:rsid w:val="00EE42C6"/>
    <w:rsid w:val="00EE44B2"/>
    <w:rsid w:val="00EE474B"/>
    <w:rsid w:val="00EE47BB"/>
    <w:rsid w:val="00EE489A"/>
    <w:rsid w:val="00EE4C28"/>
    <w:rsid w:val="00EE4C7F"/>
    <w:rsid w:val="00EE4CD3"/>
    <w:rsid w:val="00EE4D4A"/>
    <w:rsid w:val="00EE4E1D"/>
    <w:rsid w:val="00EE4FE0"/>
    <w:rsid w:val="00EE54C8"/>
    <w:rsid w:val="00EE558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0D"/>
    <w:rsid w:val="00EE7E2E"/>
    <w:rsid w:val="00EE7ED6"/>
    <w:rsid w:val="00EE7F07"/>
    <w:rsid w:val="00EE7FAF"/>
    <w:rsid w:val="00EF010A"/>
    <w:rsid w:val="00EF0376"/>
    <w:rsid w:val="00EF03E0"/>
    <w:rsid w:val="00EF0419"/>
    <w:rsid w:val="00EF0514"/>
    <w:rsid w:val="00EF0592"/>
    <w:rsid w:val="00EF0697"/>
    <w:rsid w:val="00EF0A5A"/>
    <w:rsid w:val="00EF0BEE"/>
    <w:rsid w:val="00EF0E88"/>
    <w:rsid w:val="00EF0F3E"/>
    <w:rsid w:val="00EF0F7C"/>
    <w:rsid w:val="00EF11C4"/>
    <w:rsid w:val="00EF1DF4"/>
    <w:rsid w:val="00EF1EF8"/>
    <w:rsid w:val="00EF20ED"/>
    <w:rsid w:val="00EF22E2"/>
    <w:rsid w:val="00EF2383"/>
    <w:rsid w:val="00EF241F"/>
    <w:rsid w:val="00EF26FF"/>
    <w:rsid w:val="00EF2750"/>
    <w:rsid w:val="00EF2A20"/>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474"/>
    <w:rsid w:val="00EF66E3"/>
    <w:rsid w:val="00EF681B"/>
    <w:rsid w:val="00EF68B7"/>
    <w:rsid w:val="00EF68DA"/>
    <w:rsid w:val="00EF6929"/>
    <w:rsid w:val="00EF711E"/>
    <w:rsid w:val="00EF763C"/>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41C"/>
    <w:rsid w:val="00F01565"/>
    <w:rsid w:val="00F0160C"/>
    <w:rsid w:val="00F01633"/>
    <w:rsid w:val="00F017C5"/>
    <w:rsid w:val="00F01F30"/>
    <w:rsid w:val="00F01F70"/>
    <w:rsid w:val="00F01FC3"/>
    <w:rsid w:val="00F02183"/>
    <w:rsid w:val="00F02949"/>
    <w:rsid w:val="00F03062"/>
    <w:rsid w:val="00F0311B"/>
    <w:rsid w:val="00F033CA"/>
    <w:rsid w:val="00F03513"/>
    <w:rsid w:val="00F035C2"/>
    <w:rsid w:val="00F0369D"/>
    <w:rsid w:val="00F0371F"/>
    <w:rsid w:val="00F0377C"/>
    <w:rsid w:val="00F03A9B"/>
    <w:rsid w:val="00F03B46"/>
    <w:rsid w:val="00F03BEF"/>
    <w:rsid w:val="00F03DC7"/>
    <w:rsid w:val="00F04287"/>
    <w:rsid w:val="00F0436D"/>
    <w:rsid w:val="00F04396"/>
    <w:rsid w:val="00F043AE"/>
    <w:rsid w:val="00F04609"/>
    <w:rsid w:val="00F046BF"/>
    <w:rsid w:val="00F047C7"/>
    <w:rsid w:val="00F04C96"/>
    <w:rsid w:val="00F0500C"/>
    <w:rsid w:val="00F052F0"/>
    <w:rsid w:val="00F0538B"/>
    <w:rsid w:val="00F05423"/>
    <w:rsid w:val="00F05ED0"/>
    <w:rsid w:val="00F06190"/>
    <w:rsid w:val="00F061EB"/>
    <w:rsid w:val="00F06396"/>
    <w:rsid w:val="00F06408"/>
    <w:rsid w:val="00F064E7"/>
    <w:rsid w:val="00F06965"/>
    <w:rsid w:val="00F06BE3"/>
    <w:rsid w:val="00F06BFE"/>
    <w:rsid w:val="00F06F7F"/>
    <w:rsid w:val="00F070B4"/>
    <w:rsid w:val="00F075F9"/>
    <w:rsid w:val="00F07649"/>
    <w:rsid w:val="00F076DF"/>
    <w:rsid w:val="00F07861"/>
    <w:rsid w:val="00F07B85"/>
    <w:rsid w:val="00F07F5F"/>
    <w:rsid w:val="00F10054"/>
    <w:rsid w:val="00F10075"/>
    <w:rsid w:val="00F103E1"/>
    <w:rsid w:val="00F1059E"/>
    <w:rsid w:val="00F108BD"/>
    <w:rsid w:val="00F10D20"/>
    <w:rsid w:val="00F10EA3"/>
    <w:rsid w:val="00F10EB4"/>
    <w:rsid w:val="00F10FA0"/>
    <w:rsid w:val="00F110E7"/>
    <w:rsid w:val="00F1133F"/>
    <w:rsid w:val="00F11344"/>
    <w:rsid w:val="00F1142E"/>
    <w:rsid w:val="00F114B2"/>
    <w:rsid w:val="00F11591"/>
    <w:rsid w:val="00F11808"/>
    <w:rsid w:val="00F11AA2"/>
    <w:rsid w:val="00F11B44"/>
    <w:rsid w:val="00F11B6C"/>
    <w:rsid w:val="00F11BA4"/>
    <w:rsid w:val="00F11F79"/>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B83"/>
    <w:rsid w:val="00F14C06"/>
    <w:rsid w:val="00F14D08"/>
    <w:rsid w:val="00F14E45"/>
    <w:rsid w:val="00F152A1"/>
    <w:rsid w:val="00F156F1"/>
    <w:rsid w:val="00F1571E"/>
    <w:rsid w:val="00F1593D"/>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B6"/>
    <w:rsid w:val="00F17FF9"/>
    <w:rsid w:val="00F20175"/>
    <w:rsid w:val="00F205C1"/>
    <w:rsid w:val="00F20936"/>
    <w:rsid w:val="00F20AE9"/>
    <w:rsid w:val="00F20DCE"/>
    <w:rsid w:val="00F20E20"/>
    <w:rsid w:val="00F20E91"/>
    <w:rsid w:val="00F20F8F"/>
    <w:rsid w:val="00F210AB"/>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D26"/>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A26"/>
    <w:rsid w:val="00F31C12"/>
    <w:rsid w:val="00F31C57"/>
    <w:rsid w:val="00F3221A"/>
    <w:rsid w:val="00F32479"/>
    <w:rsid w:val="00F326C2"/>
    <w:rsid w:val="00F3276D"/>
    <w:rsid w:val="00F327CE"/>
    <w:rsid w:val="00F328E2"/>
    <w:rsid w:val="00F32935"/>
    <w:rsid w:val="00F3298F"/>
    <w:rsid w:val="00F32DAA"/>
    <w:rsid w:val="00F33167"/>
    <w:rsid w:val="00F331DD"/>
    <w:rsid w:val="00F3323E"/>
    <w:rsid w:val="00F332CA"/>
    <w:rsid w:val="00F33488"/>
    <w:rsid w:val="00F337D3"/>
    <w:rsid w:val="00F33C64"/>
    <w:rsid w:val="00F33C86"/>
    <w:rsid w:val="00F33E3D"/>
    <w:rsid w:val="00F3405B"/>
    <w:rsid w:val="00F34372"/>
    <w:rsid w:val="00F34529"/>
    <w:rsid w:val="00F3476F"/>
    <w:rsid w:val="00F34D39"/>
    <w:rsid w:val="00F34DEC"/>
    <w:rsid w:val="00F34E63"/>
    <w:rsid w:val="00F35241"/>
    <w:rsid w:val="00F35513"/>
    <w:rsid w:val="00F359F4"/>
    <w:rsid w:val="00F35BEF"/>
    <w:rsid w:val="00F35E10"/>
    <w:rsid w:val="00F35E96"/>
    <w:rsid w:val="00F36329"/>
    <w:rsid w:val="00F36456"/>
    <w:rsid w:val="00F364E7"/>
    <w:rsid w:val="00F36696"/>
    <w:rsid w:val="00F367AB"/>
    <w:rsid w:val="00F36AE7"/>
    <w:rsid w:val="00F36D9F"/>
    <w:rsid w:val="00F36EB9"/>
    <w:rsid w:val="00F370F2"/>
    <w:rsid w:val="00F377C5"/>
    <w:rsid w:val="00F37811"/>
    <w:rsid w:val="00F37B9B"/>
    <w:rsid w:val="00F400BB"/>
    <w:rsid w:val="00F400DD"/>
    <w:rsid w:val="00F402BB"/>
    <w:rsid w:val="00F40327"/>
    <w:rsid w:val="00F4069B"/>
    <w:rsid w:val="00F40728"/>
    <w:rsid w:val="00F4089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85"/>
    <w:rsid w:val="00F435FE"/>
    <w:rsid w:val="00F4379E"/>
    <w:rsid w:val="00F43957"/>
    <w:rsid w:val="00F43A80"/>
    <w:rsid w:val="00F43AF8"/>
    <w:rsid w:val="00F43FAD"/>
    <w:rsid w:val="00F4433B"/>
    <w:rsid w:val="00F44844"/>
    <w:rsid w:val="00F449B9"/>
    <w:rsid w:val="00F44AE7"/>
    <w:rsid w:val="00F44CF4"/>
    <w:rsid w:val="00F44EA0"/>
    <w:rsid w:val="00F44ECA"/>
    <w:rsid w:val="00F44FBE"/>
    <w:rsid w:val="00F45185"/>
    <w:rsid w:val="00F451F3"/>
    <w:rsid w:val="00F45224"/>
    <w:rsid w:val="00F453C9"/>
    <w:rsid w:val="00F456C5"/>
    <w:rsid w:val="00F45D66"/>
    <w:rsid w:val="00F45DFA"/>
    <w:rsid w:val="00F45EAB"/>
    <w:rsid w:val="00F46014"/>
    <w:rsid w:val="00F46125"/>
    <w:rsid w:val="00F46177"/>
    <w:rsid w:val="00F462CC"/>
    <w:rsid w:val="00F46323"/>
    <w:rsid w:val="00F4636C"/>
    <w:rsid w:val="00F4657B"/>
    <w:rsid w:val="00F46595"/>
    <w:rsid w:val="00F4687A"/>
    <w:rsid w:val="00F468ED"/>
    <w:rsid w:val="00F46A1E"/>
    <w:rsid w:val="00F471E1"/>
    <w:rsid w:val="00F473D5"/>
    <w:rsid w:val="00F47471"/>
    <w:rsid w:val="00F474A1"/>
    <w:rsid w:val="00F47515"/>
    <w:rsid w:val="00F4751E"/>
    <w:rsid w:val="00F47651"/>
    <w:rsid w:val="00F476E6"/>
    <w:rsid w:val="00F47958"/>
    <w:rsid w:val="00F47B89"/>
    <w:rsid w:val="00F47C7F"/>
    <w:rsid w:val="00F50109"/>
    <w:rsid w:val="00F5025B"/>
    <w:rsid w:val="00F506C6"/>
    <w:rsid w:val="00F50A28"/>
    <w:rsid w:val="00F50A5C"/>
    <w:rsid w:val="00F50A6D"/>
    <w:rsid w:val="00F50D7C"/>
    <w:rsid w:val="00F50DCF"/>
    <w:rsid w:val="00F51393"/>
    <w:rsid w:val="00F51621"/>
    <w:rsid w:val="00F51742"/>
    <w:rsid w:val="00F51B90"/>
    <w:rsid w:val="00F51BCE"/>
    <w:rsid w:val="00F51BF4"/>
    <w:rsid w:val="00F51C18"/>
    <w:rsid w:val="00F51E85"/>
    <w:rsid w:val="00F521AF"/>
    <w:rsid w:val="00F52407"/>
    <w:rsid w:val="00F527DD"/>
    <w:rsid w:val="00F52B51"/>
    <w:rsid w:val="00F52CC9"/>
    <w:rsid w:val="00F52DD3"/>
    <w:rsid w:val="00F52E24"/>
    <w:rsid w:val="00F531B2"/>
    <w:rsid w:val="00F5336A"/>
    <w:rsid w:val="00F53934"/>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24C"/>
    <w:rsid w:val="00F5637C"/>
    <w:rsid w:val="00F56562"/>
    <w:rsid w:val="00F565F4"/>
    <w:rsid w:val="00F5698F"/>
    <w:rsid w:val="00F570AE"/>
    <w:rsid w:val="00F57445"/>
    <w:rsid w:val="00F57882"/>
    <w:rsid w:val="00F5788B"/>
    <w:rsid w:val="00F57906"/>
    <w:rsid w:val="00F5797A"/>
    <w:rsid w:val="00F579A9"/>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71C"/>
    <w:rsid w:val="00F61810"/>
    <w:rsid w:val="00F618E9"/>
    <w:rsid w:val="00F6191E"/>
    <w:rsid w:val="00F61A0B"/>
    <w:rsid w:val="00F61DED"/>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946"/>
    <w:rsid w:val="00F64B1F"/>
    <w:rsid w:val="00F64CA2"/>
    <w:rsid w:val="00F65160"/>
    <w:rsid w:val="00F651F0"/>
    <w:rsid w:val="00F65259"/>
    <w:rsid w:val="00F6532F"/>
    <w:rsid w:val="00F6538B"/>
    <w:rsid w:val="00F65629"/>
    <w:rsid w:val="00F657CA"/>
    <w:rsid w:val="00F658E4"/>
    <w:rsid w:val="00F65CEF"/>
    <w:rsid w:val="00F65E81"/>
    <w:rsid w:val="00F65E90"/>
    <w:rsid w:val="00F65EDB"/>
    <w:rsid w:val="00F66577"/>
    <w:rsid w:val="00F66784"/>
    <w:rsid w:val="00F667FF"/>
    <w:rsid w:val="00F668E4"/>
    <w:rsid w:val="00F66E65"/>
    <w:rsid w:val="00F66ECA"/>
    <w:rsid w:val="00F66FBD"/>
    <w:rsid w:val="00F670E4"/>
    <w:rsid w:val="00F6711E"/>
    <w:rsid w:val="00F67408"/>
    <w:rsid w:val="00F67569"/>
    <w:rsid w:val="00F6756E"/>
    <w:rsid w:val="00F67A29"/>
    <w:rsid w:val="00F67AA2"/>
    <w:rsid w:val="00F67C3E"/>
    <w:rsid w:val="00F67CD9"/>
    <w:rsid w:val="00F67F37"/>
    <w:rsid w:val="00F70225"/>
    <w:rsid w:val="00F70271"/>
    <w:rsid w:val="00F70557"/>
    <w:rsid w:val="00F70568"/>
    <w:rsid w:val="00F707B3"/>
    <w:rsid w:val="00F708F9"/>
    <w:rsid w:val="00F70943"/>
    <w:rsid w:val="00F70A26"/>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10C"/>
    <w:rsid w:val="00F723B8"/>
    <w:rsid w:val="00F7259B"/>
    <w:rsid w:val="00F727EB"/>
    <w:rsid w:val="00F72B7A"/>
    <w:rsid w:val="00F72FB8"/>
    <w:rsid w:val="00F7302D"/>
    <w:rsid w:val="00F73075"/>
    <w:rsid w:val="00F73461"/>
    <w:rsid w:val="00F73475"/>
    <w:rsid w:val="00F73902"/>
    <w:rsid w:val="00F73B5F"/>
    <w:rsid w:val="00F73BA7"/>
    <w:rsid w:val="00F73C1C"/>
    <w:rsid w:val="00F73C3B"/>
    <w:rsid w:val="00F73F2D"/>
    <w:rsid w:val="00F73FAF"/>
    <w:rsid w:val="00F74119"/>
    <w:rsid w:val="00F74267"/>
    <w:rsid w:val="00F74327"/>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A5A"/>
    <w:rsid w:val="00F76A96"/>
    <w:rsid w:val="00F76BC9"/>
    <w:rsid w:val="00F76BDA"/>
    <w:rsid w:val="00F76C79"/>
    <w:rsid w:val="00F77066"/>
    <w:rsid w:val="00F77163"/>
    <w:rsid w:val="00F77356"/>
    <w:rsid w:val="00F775AA"/>
    <w:rsid w:val="00F776F4"/>
    <w:rsid w:val="00F779F4"/>
    <w:rsid w:val="00F77A41"/>
    <w:rsid w:val="00F77A95"/>
    <w:rsid w:val="00F77C8A"/>
    <w:rsid w:val="00F77D90"/>
    <w:rsid w:val="00F77FF7"/>
    <w:rsid w:val="00F801CA"/>
    <w:rsid w:val="00F8022F"/>
    <w:rsid w:val="00F80535"/>
    <w:rsid w:val="00F80876"/>
    <w:rsid w:val="00F81103"/>
    <w:rsid w:val="00F81140"/>
    <w:rsid w:val="00F81478"/>
    <w:rsid w:val="00F814BF"/>
    <w:rsid w:val="00F81A10"/>
    <w:rsid w:val="00F81FBE"/>
    <w:rsid w:val="00F825D3"/>
    <w:rsid w:val="00F827E3"/>
    <w:rsid w:val="00F82825"/>
    <w:rsid w:val="00F82901"/>
    <w:rsid w:val="00F82A05"/>
    <w:rsid w:val="00F82A41"/>
    <w:rsid w:val="00F82A4F"/>
    <w:rsid w:val="00F82A68"/>
    <w:rsid w:val="00F82D86"/>
    <w:rsid w:val="00F82E09"/>
    <w:rsid w:val="00F82F2C"/>
    <w:rsid w:val="00F82F44"/>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847"/>
    <w:rsid w:val="00F85B7C"/>
    <w:rsid w:val="00F85CD7"/>
    <w:rsid w:val="00F8603F"/>
    <w:rsid w:val="00F86530"/>
    <w:rsid w:val="00F867B9"/>
    <w:rsid w:val="00F867ED"/>
    <w:rsid w:val="00F868FE"/>
    <w:rsid w:val="00F86934"/>
    <w:rsid w:val="00F86A8A"/>
    <w:rsid w:val="00F86C72"/>
    <w:rsid w:val="00F86D8B"/>
    <w:rsid w:val="00F86DA0"/>
    <w:rsid w:val="00F86E16"/>
    <w:rsid w:val="00F870D8"/>
    <w:rsid w:val="00F87118"/>
    <w:rsid w:val="00F8716F"/>
    <w:rsid w:val="00F874E8"/>
    <w:rsid w:val="00F876E7"/>
    <w:rsid w:val="00F8771E"/>
    <w:rsid w:val="00F8774E"/>
    <w:rsid w:val="00F877E9"/>
    <w:rsid w:val="00F87F22"/>
    <w:rsid w:val="00F9011F"/>
    <w:rsid w:val="00F903B8"/>
    <w:rsid w:val="00F903C4"/>
    <w:rsid w:val="00F90468"/>
    <w:rsid w:val="00F90656"/>
    <w:rsid w:val="00F9070B"/>
    <w:rsid w:val="00F90BCE"/>
    <w:rsid w:val="00F90C93"/>
    <w:rsid w:val="00F90E04"/>
    <w:rsid w:val="00F9119B"/>
    <w:rsid w:val="00F914A2"/>
    <w:rsid w:val="00F9158E"/>
    <w:rsid w:val="00F915A1"/>
    <w:rsid w:val="00F915D2"/>
    <w:rsid w:val="00F9168C"/>
    <w:rsid w:val="00F91781"/>
    <w:rsid w:val="00F91FB5"/>
    <w:rsid w:val="00F920A0"/>
    <w:rsid w:val="00F92401"/>
    <w:rsid w:val="00F9240C"/>
    <w:rsid w:val="00F9242C"/>
    <w:rsid w:val="00F929CE"/>
    <w:rsid w:val="00F92AAA"/>
    <w:rsid w:val="00F930DB"/>
    <w:rsid w:val="00F93142"/>
    <w:rsid w:val="00F933B6"/>
    <w:rsid w:val="00F937CD"/>
    <w:rsid w:val="00F9392A"/>
    <w:rsid w:val="00F93BB2"/>
    <w:rsid w:val="00F93F2F"/>
    <w:rsid w:val="00F93FDB"/>
    <w:rsid w:val="00F94284"/>
    <w:rsid w:val="00F944BD"/>
    <w:rsid w:val="00F944D0"/>
    <w:rsid w:val="00F946E3"/>
    <w:rsid w:val="00F94826"/>
    <w:rsid w:val="00F949E2"/>
    <w:rsid w:val="00F94B1E"/>
    <w:rsid w:val="00F94E4D"/>
    <w:rsid w:val="00F94E77"/>
    <w:rsid w:val="00F94F31"/>
    <w:rsid w:val="00F94F99"/>
    <w:rsid w:val="00F9525D"/>
    <w:rsid w:val="00F95B1E"/>
    <w:rsid w:val="00F95C48"/>
    <w:rsid w:val="00F95D04"/>
    <w:rsid w:val="00F95E94"/>
    <w:rsid w:val="00F95EDD"/>
    <w:rsid w:val="00F960C2"/>
    <w:rsid w:val="00F9611A"/>
    <w:rsid w:val="00F961D6"/>
    <w:rsid w:val="00F963E9"/>
    <w:rsid w:val="00F9661F"/>
    <w:rsid w:val="00F96A95"/>
    <w:rsid w:val="00F96B61"/>
    <w:rsid w:val="00F96E5E"/>
    <w:rsid w:val="00F96F30"/>
    <w:rsid w:val="00F96FED"/>
    <w:rsid w:val="00F9735C"/>
    <w:rsid w:val="00F976DA"/>
    <w:rsid w:val="00F977B5"/>
    <w:rsid w:val="00F97A25"/>
    <w:rsid w:val="00F97AFF"/>
    <w:rsid w:val="00F97B04"/>
    <w:rsid w:val="00F97F26"/>
    <w:rsid w:val="00FA0133"/>
    <w:rsid w:val="00FA02C2"/>
    <w:rsid w:val="00FA0405"/>
    <w:rsid w:val="00FA07EC"/>
    <w:rsid w:val="00FA0ADE"/>
    <w:rsid w:val="00FA1129"/>
    <w:rsid w:val="00FA168C"/>
    <w:rsid w:val="00FA1A9D"/>
    <w:rsid w:val="00FA1D4F"/>
    <w:rsid w:val="00FA2450"/>
    <w:rsid w:val="00FA270C"/>
    <w:rsid w:val="00FA2B9F"/>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5CB"/>
    <w:rsid w:val="00FA57F7"/>
    <w:rsid w:val="00FA6026"/>
    <w:rsid w:val="00FA60A5"/>
    <w:rsid w:val="00FA6518"/>
    <w:rsid w:val="00FA6679"/>
    <w:rsid w:val="00FA6734"/>
    <w:rsid w:val="00FA6B0D"/>
    <w:rsid w:val="00FA6B6A"/>
    <w:rsid w:val="00FA6C85"/>
    <w:rsid w:val="00FA6E14"/>
    <w:rsid w:val="00FA6F35"/>
    <w:rsid w:val="00FA7008"/>
    <w:rsid w:val="00FA7357"/>
    <w:rsid w:val="00FA739C"/>
    <w:rsid w:val="00FA73B3"/>
    <w:rsid w:val="00FA7463"/>
    <w:rsid w:val="00FA786F"/>
    <w:rsid w:val="00FA7BB4"/>
    <w:rsid w:val="00FA7C68"/>
    <w:rsid w:val="00FA7CC5"/>
    <w:rsid w:val="00FB0363"/>
    <w:rsid w:val="00FB05A6"/>
    <w:rsid w:val="00FB065A"/>
    <w:rsid w:val="00FB0701"/>
    <w:rsid w:val="00FB077C"/>
    <w:rsid w:val="00FB0878"/>
    <w:rsid w:val="00FB08E6"/>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410"/>
    <w:rsid w:val="00FB26AF"/>
    <w:rsid w:val="00FB278F"/>
    <w:rsid w:val="00FB286C"/>
    <w:rsid w:val="00FB2AD5"/>
    <w:rsid w:val="00FB2B1D"/>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91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1914"/>
    <w:rsid w:val="00FC21B8"/>
    <w:rsid w:val="00FC21C4"/>
    <w:rsid w:val="00FC223A"/>
    <w:rsid w:val="00FC23D0"/>
    <w:rsid w:val="00FC245F"/>
    <w:rsid w:val="00FC272C"/>
    <w:rsid w:val="00FC29D0"/>
    <w:rsid w:val="00FC29FF"/>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E0"/>
    <w:rsid w:val="00FC6E67"/>
    <w:rsid w:val="00FC6F7B"/>
    <w:rsid w:val="00FC6FEA"/>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570"/>
    <w:rsid w:val="00FD273A"/>
    <w:rsid w:val="00FD29DE"/>
    <w:rsid w:val="00FD2A48"/>
    <w:rsid w:val="00FD2A81"/>
    <w:rsid w:val="00FD2AC8"/>
    <w:rsid w:val="00FD2AEF"/>
    <w:rsid w:val="00FD2B1F"/>
    <w:rsid w:val="00FD2C2A"/>
    <w:rsid w:val="00FD2CFC"/>
    <w:rsid w:val="00FD2DD2"/>
    <w:rsid w:val="00FD2F05"/>
    <w:rsid w:val="00FD34EC"/>
    <w:rsid w:val="00FD354A"/>
    <w:rsid w:val="00FD370D"/>
    <w:rsid w:val="00FD3B28"/>
    <w:rsid w:val="00FD3B55"/>
    <w:rsid w:val="00FD406F"/>
    <w:rsid w:val="00FD437B"/>
    <w:rsid w:val="00FD49D3"/>
    <w:rsid w:val="00FD4BB3"/>
    <w:rsid w:val="00FD4EF4"/>
    <w:rsid w:val="00FD531F"/>
    <w:rsid w:val="00FD53D9"/>
    <w:rsid w:val="00FD54B9"/>
    <w:rsid w:val="00FD565D"/>
    <w:rsid w:val="00FD574C"/>
    <w:rsid w:val="00FD5A50"/>
    <w:rsid w:val="00FD5AFF"/>
    <w:rsid w:val="00FD5D43"/>
    <w:rsid w:val="00FD60A4"/>
    <w:rsid w:val="00FD616B"/>
    <w:rsid w:val="00FD63E7"/>
    <w:rsid w:val="00FD66FB"/>
    <w:rsid w:val="00FD6D90"/>
    <w:rsid w:val="00FD6E77"/>
    <w:rsid w:val="00FD71B9"/>
    <w:rsid w:val="00FD7283"/>
    <w:rsid w:val="00FD7351"/>
    <w:rsid w:val="00FD747B"/>
    <w:rsid w:val="00FD74A9"/>
    <w:rsid w:val="00FD7579"/>
    <w:rsid w:val="00FD7653"/>
    <w:rsid w:val="00FD7DD9"/>
    <w:rsid w:val="00FD7EDF"/>
    <w:rsid w:val="00FD7F74"/>
    <w:rsid w:val="00FD7F93"/>
    <w:rsid w:val="00FD7F9E"/>
    <w:rsid w:val="00FE040A"/>
    <w:rsid w:val="00FE048C"/>
    <w:rsid w:val="00FE05B4"/>
    <w:rsid w:val="00FE0797"/>
    <w:rsid w:val="00FE07E6"/>
    <w:rsid w:val="00FE0A42"/>
    <w:rsid w:val="00FE0C19"/>
    <w:rsid w:val="00FE0C3D"/>
    <w:rsid w:val="00FE0E64"/>
    <w:rsid w:val="00FE10A3"/>
    <w:rsid w:val="00FE1201"/>
    <w:rsid w:val="00FE1350"/>
    <w:rsid w:val="00FE1449"/>
    <w:rsid w:val="00FE1499"/>
    <w:rsid w:val="00FE14A9"/>
    <w:rsid w:val="00FE1704"/>
    <w:rsid w:val="00FE1894"/>
    <w:rsid w:val="00FE18C3"/>
    <w:rsid w:val="00FE1C57"/>
    <w:rsid w:val="00FE1C76"/>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3FF1"/>
    <w:rsid w:val="00FE40BD"/>
    <w:rsid w:val="00FE41E2"/>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12A"/>
    <w:rsid w:val="00FE62FF"/>
    <w:rsid w:val="00FE6497"/>
    <w:rsid w:val="00FE65F0"/>
    <w:rsid w:val="00FE6D4D"/>
    <w:rsid w:val="00FE6E6B"/>
    <w:rsid w:val="00FE7015"/>
    <w:rsid w:val="00FE7234"/>
    <w:rsid w:val="00FE733A"/>
    <w:rsid w:val="00FE74A0"/>
    <w:rsid w:val="00FE7572"/>
    <w:rsid w:val="00FE78F4"/>
    <w:rsid w:val="00FE79AC"/>
    <w:rsid w:val="00FE7ADD"/>
    <w:rsid w:val="00FE7C6B"/>
    <w:rsid w:val="00FE7D27"/>
    <w:rsid w:val="00FE7DAC"/>
    <w:rsid w:val="00FE7F2B"/>
    <w:rsid w:val="00FF0050"/>
    <w:rsid w:val="00FF01D5"/>
    <w:rsid w:val="00FF02D4"/>
    <w:rsid w:val="00FF02E0"/>
    <w:rsid w:val="00FF0627"/>
    <w:rsid w:val="00FF0D80"/>
    <w:rsid w:val="00FF1114"/>
    <w:rsid w:val="00FF1534"/>
    <w:rsid w:val="00FF1558"/>
    <w:rsid w:val="00FF157E"/>
    <w:rsid w:val="00FF19A4"/>
    <w:rsid w:val="00FF1CA6"/>
    <w:rsid w:val="00FF215D"/>
    <w:rsid w:val="00FF221A"/>
    <w:rsid w:val="00FF2374"/>
    <w:rsid w:val="00FF23EA"/>
    <w:rsid w:val="00FF2A45"/>
    <w:rsid w:val="00FF2EB9"/>
    <w:rsid w:val="00FF303B"/>
    <w:rsid w:val="00FF31E4"/>
    <w:rsid w:val="00FF34DD"/>
    <w:rsid w:val="00FF37CE"/>
    <w:rsid w:val="00FF38BF"/>
    <w:rsid w:val="00FF3A48"/>
    <w:rsid w:val="00FF44EA"/>
    <w:rsid w:val="00FF468B"/>
    <w:rsid w:val="00FF46E1"/>
    <w:rsid w:val="00FF5216"/>
    <w:rsid w:val="00FF5520"/>
    <w:rsid w:val="00FF553A"/>
    <w:rsid w:val="00FF554A"/>
    <w:rsid w:val="00FF59ED"/>
    <w:rsid w:val="00FF5B38"/>
    <w:rsid w:val="00FF61BC"/>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5B490F"/>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0309C"/>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9C0EB8"/>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5E0525"/>
    <w:rsid w:val="0B627E12"/>
    <w:rsid w:val="0B65171B"/>
    <w:rsid w:val="0B6B272A"/>
    <w:rsid w:val="0B6C1381"/>
    <w:rsid w:val="0B6D1F77"/>
    <w:rsid w:val="0B723D3E"/>
    <w:rsid w:val="0B7957E9"/>
    <w:rsid w:val="0B7A50DB"/>
    <w:rsid w:val="0B7E624E"/>
    <w:rsid w:val="0B7E653B"/>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50346"/>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877BC"/>
    <w:rsid w:val="0F8116C6"/>
    <w:rsid w:val="0F927670"/>
    <w:rsid w:val="0F977AA3"/>
    <w:rsid w:val="0F9D2A7E"/>
    <w:rsid w:val="0F9D727A"/>
    <w:rsid w:val="0FA54926"/>
    <w:rsid w:val="0FC11A21"/>
    <w:rsid w:val="0FC230B4"/>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E632AB"/>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D45F6"/>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4798D"/>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46462"/>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8412C"/>
    <w:rsid w:val="16EC2A58"/>
    <w:rsid w:val="16EF5D8C"/>
    <w:rsid w:val="16F06A95"/>
    <w:rsid w:val="16F74E68"/>
    <w:rsid w:val="16FE147F"/>
    <w:rsid w:val="17036CB3"/>
    <w:rsid w:val="17110027"/>
    <w:rsid w:val="171476E9"/>
    <w:rsid w:val="171B7E32"/>
    <w:rsid w:val="171E610A"/>
    <w:rsid w:val="17276415"/>
    <w:rsid w:val="172B4688"/>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0581E"/>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552A5"/>
    <w:rsid w:val="18297B0F"/>
    <w:rsid w:val="182B0B12"/>
    <w:rsid w:val="182E057C"/>
    <w:rsid w:val="182F2D36"/>
    <w:rsid w:val="183C1763"/>
    <w:rsid w:val="184476DA"/>
    <w:rsid w:val="18472B07"/>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3E10"/>
    <w:rsid w:val="18F44372"/>
    <w:rsid w:val="18F73D37"/>
    <w:rsid w:val="19087E5A"/>
    <w:rsid w:val="190B5982"/>
    <w:rsid w:val="190E24A2"/>
    <w:rsid w:val="190F246E"/>
    <w:rsid w:val="1910107B"/>
    <w:rsid w:val="1919445B"/>
    <w:rsid w:val="1929257A"/>
    <w:rsid w:val="19296C8F"/>
    <w:rsid w:val="192B582F"/>
    <w:rsid w:val="192F7BEE"/>
    <w:rsid w:val="193C5189"/>
    <w:rsid w:val="193D2F9C"/>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02518"/>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B4D9C"/>
    <w:rsid w:val="1D0C1DDC"/>
    <w:rsid w:val="1D0D0561"/>
    <w:rsid w:val="1D132ACA"/>
    <w:rsid w:val="1D2B0F93"/>
    <w:rsid w:val="1D315EEC"/>
    <w:rsid w:val="1D316B5C"/>
    <w:rsid w:val="1D320508"/>
    <w:rsid w:val="1D33002D"/>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677A8"/>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F79DC"/>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E19ED"/>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AE6BEB"/>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20C33"/>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57D1B"/>
    <w:rsid w:val="21B34081"/>
    <w:rsid w:val="21B76CF4"/>
    <w:rsid w:val="21BC401D"/>
    <w:rsid w:val="21BE61E3"/>
    <w:rsid w:val="21BF1C5A"/>
    <w:rsid w:val="21C618F4"/>
    <w:rsid w:val="21CC7D65"/>
    <w:rsid w:val="21D33066"/>
    <w:rsid w:val="21DC04F8"/>
    <w:rsid w:val="21DC4656"/>
    <w:rsid w:val="21E03CE8"/>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63D63"/>
    <w:rsid w:val="22677532"/>
    <w:rsid w:val="226D0C21"/>
    <w:rsid w:val="226F2BB2"/>
    <w:rsid w:val="22721973"/>
    <w:rsid w:val="22721E20"/>
    <w:rsid w:val="227434D8"/>
    <w:rsid w:val="22882272"/>
    <w:rsid w:val="229C146B"/>
    <w:rsid w:val="229F5B62"/>
    <w:rsid w:val="22A27774"/>
    <w:rsid w:val="22AA38D5"/>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9372F"/>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C21F7"/>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03771"/>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A62BC"/>
    <w:rsid w:val="2ABB429B"/>
    <w:rsid w:val="2AC64A5F"/>
    <w:rsid w:val="2AC9741F"/>
    <w:rsid w:val="2AD623FD"/>
    <w:rsid w:val="2ADA1FD1"/>
    <w:rsid w:val="2AE020A3"/>
    <w:rsid w:val="2AE87872"/>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C137A"/>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25733"/>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33A81"/>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A3533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934FA"/>
    <w:rsid w:val="36FF6DEB"/>
    <w:rsid w:val="37047996"/>
    <w:rsid w:val="37072335"/>
    <w:rsid w:val="370D1324"/>
    <w:rsid w:val="371015D4"/>
    <w:rsid w:val="37144AD8"/>
    <w:rsid w:val="371465B0"/>
    <w:rsid w:val="371B2D39"/>
    <w:rsid w:val="37261B8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94E41"/>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364CE5"/>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055A0"/>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745F4"/>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C3075"/>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9D459F"/>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0F3538E"/>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3FF7C6D"/>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3C0ADB"/>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CB120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33D18"/>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BEE7571"/>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86F78"/>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1C46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8E3450"/>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A2A12"/>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DC2FB2"/>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34C93"/>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2FF227C"/>
    <w:rsid w:val="53045931"/>
    <w:rsid w:val="53063DBD"/>
    <w:rsid w:val="53172A50"/>
    <w:rsid w:val="531F08E1"/>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1F3C82"/>
    <w:rsid w:val="55213B26"/>
    <w:rsid w:val="552524A9"/>
    <w:rsid w:val="55270ECD"/>
    <w:rsid w:val="552924E6"/>
    <w:rsid w:val="552C3CEB"/>
    <w:rsid w:val="552D19C6"/>
    <w:rsid w:val="552D7D08"/>
    <w:rsid w:val="55327DE8"/>
    <w:rsid w:val="5534227F"/>
    <w:rsid w:val="55353746"/>
    <w:rsid w:val="5536380F"/>
    <w:rsid w:val="55396816"/>
    <w:rsid w:val="553A166A"/>
    <w:rsid w:val="553D4D07"/>
    <w:rsid w:val="554342CA"/>
    <w:rsid w:val="554430DF"/>
    <w:rsid w:val="554D7803"/>
    <w:rsid w:val="554E687A"/>
    <w:rsid w:val="55516532"/>
    <w:rsid w:val="555A0E30"/>
    <w:rsid w:val="555B1111"/>
    <w:rsid w:val="555B2944"/>
    <w:rsid w:val="55694AF9"/>
    <w:rsid w:val="556F7E62"/>
    <w:rsid w:val="5576748A"/>
    <w:rsid w:val="55781DD9"/>
    <w:rsid w:val="55792861"/>
    <w:rsid w:val="557940BC"/>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12126"/>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017DD"/>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60864"/>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BF7AFC"/>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B0251"/>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B68BC"/>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3481A"/>
    <w:rsid w:val="63FC5574"/>
    <w:rsid w:val="6401570F"/>
    <w:rsid w:val="6405483D"/>
    <w:rsid w:val="640C5C73"/>
    <w:rsid w:val="640E6446"/>
    <w:rsid w:val="6410782B"/>
    <w:rsid w:val="64131ACE"/>
    <w:rsid w:val="64193316"/>
    <w:rsid w:val="641E4A63"/>
    <w:rsid w:val="641F6408"/>
    <w:rsid w:val="64267B2C"/>
    <w:rsid w:val="64274A73"/>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15C1B"/>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03F36"/>
    <w:rsid w:val="66315775"/>
    <w:rsid w:val="66355B8E"/>
    <w:rsid w:val="66467706"/>
    <w:rsid w:val="664A400E"/>
    <w:rsid w:val="664E41D9"/>
    <w:rsid w:val="664F3140"/>
    <w:rsid w:val="665610A9"/>
    <w:rsid w:val="66590DCD"/>
    <w:rsid w:val="666358BC"/>
    <w:rsid w:val="6665550D"/>
    <w:rsid w:val="66695AF1"/>
    <w:rsid w:val="666E74C1"/>
    <w:rsid w:val="667A0C6A"/>
    <w:rsid w:val="667A263F"/>
    <w:rsid w:val="66802FE7"/>
    <w:rsid w:val="66812D23"/>
    <w:rsid w:val="668B6CD0"/>
    <w:rsid w:val="669A357F"/>
    <w:rsid w:val="669B2E0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41FE9"/>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1354"/>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00530"/>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7D7"/>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92BF1"/>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075DB"/>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3648"/>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00EE0"/>
    <w:rsid w:val="72015588"/>
    <w:rsid w:val="72087B85"/>
    <w:rsid w:val="720F3321"/>
    <w:rsid w:val="72116C3F"/>
    <w:rsid w:val="72191DE7"/>
    <w:rsid w:val="721C5A4B"/>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A697C"/>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35399"/>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318AD"/>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5027B"/>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3600C"/>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246F5"/>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465F7"/>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9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w:hAnsi="Times" w:eastAsia="Batang" w:cs="Times"/>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pPr>
    <w:rPr>
      <w:sz w:val="18"/>
      <w:szCs w:val="18"/>
    </w:rPr>
  </w:style>
  <w:style w:type="paragraph" w:styleId="20">
    <w:name w:val="header"/>
    <w:basedOn w:val="1"/>
    <w:link w:val="31"/>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3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0"/>
    <w:rPr>
      <w:rFonts w:ascii="Arial" w:hAnsi="Arial" w:eastAsia="黑体" w:cs="Times"/>
      <w:b/>
      <w:bCs/>
      <w:sz w:val="30"/>
      <w:szCs w:val="30"/>
      <w:lang w:val="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ind w:firstLine="420" w:firstLineChars="200"/>
      <w:jc w:val="both"/>
    </w:pPr>
    <w:rPr>
      <w:rFonts w:ascii="Times New Roman" w:hAnsi="Times New Roman"/>
      <w:kern w:val="2"/>
      <w:sz w:val="21"/>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jc w:val="center"/>
    </w:pPr>
    <w:rPr>
      <w:szCs w:val="20"/>
      <w:lang w:val="en-GB" w:eastAsia="en-US"/>
    </w:rPr>
  </w:style>
  <w:style w:type="paragraph" w:customStyle="1" w:styleId="57">
    <w:name w:val="TAL"/>
    <w:basedOn w:val="1"/>
    <w:link w:val="109"/>
    <w:qFormat/>
    <w:uiPriority w:val="0"/>
    <w:pPr>
      <w:keepNext/>
      <w:keepLines/>
    </w:pPr>
    <w:rPr>
      <w:rFonts w:ascii="Arial" w:hAnsi="Arial"/>
      <w:sz w:val="18"/>
    </w:rPr>
  </w:style>
  <w:style w:type="paragraph" w:customStyle="1" w:styleId="58">
    <w:name w:val="TH"/>
    <w:basedOn w:val="1"/>
    <w:link w:val="108"/>
    <w:qFormat/>
    <w:uiPriority w:val="0"/>
    <w:pPr>
      <w:keepNext/>
      <w:keepLines/>
      <w:spacing w:before="60" w:after="180"/>
      <w:jc w:val="center"/>
    </w:pPr>
    <w:rPr>
      <w:rFonts w:ascii="Arial" w:hAnsi="Arial"/>
      <w:b/>
      <w:sz w:val="20"/>
      <w:szCs w:val="20"/>
      <w:lang w:val="en-GB" w:eastAsia="en-US"/>
    </w:rPr>
  </w:style>
  <w:style w:type="paragraph" w:customStyle="1" w:styleId="59">
    <w:name w:val="TAN"/>
    <w:basedOn w:val="1"/>
    <w:qFormat/>
    <w:uiPriority w:val="0"/>
    <w:pPr>
      <w:keepNext/>
      <w:keepLines/>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ind w:left="1622" w:hanging="363"/>
    </w:pPr>
    <w:rPr>
      <w:rFonts w:ascii="Arial" w:hAnsi="Arial" w:eastAsia="MS Mincho"/>
      <w:sz w:val="20"/>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ind w:firstLine="420" w:firstLineChars="200"/>
      <w:jc w:val="both"/>
    </w:pPr>
    <w:rPr>
      <w:rFonts w:ascii="Times New Roman" w:hAnsi="Times New Roman"/>
      <w:kern w:val="2"/>
      <w:sz w:val="21"/>
    </w:rPr>
  </w:style>
  <w:style w:type="paragraph" w:customStyle="1" w:styleId="79">
    <w:name w:val="B1"/>
    <w:basedOn w:val="15"/>
    <w:link w:val="82"/>
    <w:qFormat/>
    <w:uiPriority w:val="0"/>
  </w:style>
  <w:style w:type="paragraph" w:customStyle="1" w:styleId="80">
    <w:name w:val="EQ"/>
    <w:basedOn w:val="1"/>
    <w:next w:val="1"/>
    <w:unhideWhenUsed/>
    <w:qFormat/>
    <w:uiPriority w:val="0"/>
    <w:pPr>
      <w:keepLines/>
      <w:tabs>
        <w:tab w:val="center" w:pos="4536"/>
        <w:tab w:val="right" w:pos="9072"/>
      </w:tabs>
    </w:p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ind w:left="1622" w:hanging="363"/>
    </w:pPr>
    <w:rPr>
      <w:rFonts w:ascii="Arial" w:hAnsi="Arial" w:eastAsia="MS Mincho"/>
    </w:rPr>
  </w:style>
  <w:style w:type="paragraph" w:customStyle="1" w:styleId="98">
    <w:name w:val="EmailDiscussion"/>
    <w:basedOn w:val="1"/>
    <w:next w:val="97"/>
    <w:qFormat/>
    <w:uiPriority w:val="0"/>
    <w:pPr>
      <w:spacing w:before="40" w:after="100" w:afterAutospacing="1"/>
      <w:ind w:left="1619" w:hanging="360"/>
    </w:pPr>
    <w:rPr>
      <w:rFonts w:ascii="Arial" w:hAnsi="Arial" w:eastAsia="MS Mincho"/>
      <w:b/>
      <w:bCs/>
    </w:rPr>
  </w:style>
  <w:style w:type="paragraph" w:customStyle="1" w:styleId="99">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ascii="Times New Roman" w:hAnsi="Times New Roman" w:eastAsia="宋体"/>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3">
    <w:name w:val="Proposal"/>
    <w:basedOn w:val="12"/>
    <w:link w:val="104"/>
    <w:qFormat/>
    <w:uiPriority w:val="0"/>
    <w:pPr>
      <w:widowControl/>
      <w:numPr>
        <w:ilvl w:val="0"/>
        <w:numId w:val="3"/>
      </w:numPr>
      <w:tabs>
        <w:tab w:val="left" w:pos="1701"/>
      </w:tabs>
      <w:spacing w:after="120"/>
    </w:pPr>
    <w:rPr>
      <w:rFonts w:ascii="Arial" w:hAnsi="Arial" w:eastAsiaTheme="minorHAnsi" w:cstheme="minorBidi"/>
      <w:b/>
      <w:bCs/>
      <w:color w:val="auto"/>
      <w:kern w:val="0"/>
      <w:sz w:val="22"/>
      <w:szCs w:val="22"/>
    </w:rPr>
  </w:style>
  <w:style w:type="character" w:customStyle="1" w:styleId="104">
    <w:name w:val="Proposal Char"/>
    <w:basedOn w:val="25"/>
    <w:link w:val="103"/>
    <w:qFormat/>
    <w:locked/>
    <w:uiPriority w:val="0"/>
    <w:rPr>
      <w:rFonts w:ascii="Arial" w:hAnsi="Arial" w:eastAsiaTheme="minorHAnsi" w:cstheme="minorBidi"/>
      <w:b/>
      <w:bCs/>
      <w:sz w:val="22"/>
      <w:szCs w:val="22"/>
    </w:rPr>
  </w:style>
  <w:style w:type="table" w:customStyle="1" w:styleId="105">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6">
    <w:name w:val="B1 Zchn"/>
    <w:qFormat/>
    <w:uiPriority w:val="0"/>
    <w:rPr>
      <w:lang w:val="en-GB" w:eastAsia="en-US"/>
    </w:rPr>
  </w:style>
  <w:style w:type="paragraph" w:customStyle="1" w:styleId="107">
    <w:name w:val="NO"/>
    <w:basedOn w:val="1"/>
    <w:qFormat/>
    <w:uiPriority w:val="0"/>
    <w:pPr>
      <w:keepLines/>
      <w:widowControl w:val="0"/>
      <w:spacing w:before="100" w:beforeAutospacing="1" w:after="180"/>
      <w:ind w:left="1135" w:hanging="851"/>
    </w:pPr>
    <w:rPr>
      <w:rFonts w:ascii="Times New Roman" w:hAnsi="Times New Roman" w:eastAsia="宋体"/>
    </w:rPr>
  </w:style>
  <w:style w:type="character" w:customStyle="1" w:styleId="108">
    <w:name w:val="TH Char"/>
    <w:link w:val="58"/>
    <w:qFormat/>
    <w:uiPriority w:val="0"/>
    <w:rPr>
      <w:rFonts w:ascii="Arial" w:hAnsi="Arial" w:eastAsiaTheme="minorEastAsia"/>
      <w:b/>
      <w:lang w:val="en-GB" w:eastAsia="en-US"/>
    </w:rPr>
  </w:style>
  <w:style w:type="character" w:customStyle="1" w:styleId="109">
    <w:name w:val="TAL Char"/>
    <w:link w:val="57"/>
    <w:qFormat/>
    <w:locked/>
    <w:uiPriority w:val="0"/>
    <w:rPr>
      <w:rFonts w:ascii="Arial" w:hAnsi="Arial" w:eastAsiaTheme="minorEastAsia"/>
      <w:sz w:val="18"/>
      <w:szCs w:val="22"/>
    </w:rPr>
  </w:style>
  <w:style w:type="character" w:styleId="110">
    <w:name w:val="Placeholder Text"/>
    <w:basedOn w:val="25"/>
    <w:semiHidden/>
    <w:qFormat/>
    <w:uiPriority w:val="99"/>
    <w:rPr>
      <w:color w:val="808080"/>
    </w:rPr>
  </w:style>
  <w:style w:type="table" w:customStyle="1" w:styleId="111">
    <w:name w:val="网格型3"/>
    <w:basedOn w:val="2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2">
    <w:name w:val="List Paragraph Char"/>
    <w:qFormat/>
    <w:locked/>
    <w:uiPriority w:val="34"/>
    <w:rPr>
      <w:kern w:val="2"/>
      <w:sz w:val="21"/>
      <w:szCs w:val="24"/>
    </w:rPr>
  </w:style>
  <w:style w:type="paragraph" w:customStyle="1" w:styleId="113">
    <w:name w:val="0maintext"/>
    <w:basedOn w:val="1"/>
    <w:qFormat/>
    <w:uiPriority w:val="0"/>
    <w:rPr>
      <w:rFonts w:ascii="Times New Roman" w:hAnsi="Times New Roman" w:eastAsia="宋体" w:cs="Times New Roman"/>
      <w:sz w:val="16"/>
      <w:szCs w:val="16"/>
    </w:rPr>
  </w:style>
  <w:style w:type="paragraph" w:customStyle="1" w:styleId="114">
    <w:name w:val="修订2"/>
    <w:hidden/>
    <w:semiHidden/>
    <w:qFormat/>
    <w:uiPriority w:val="99"/>
    <w:rPr>
      <w:rFonts w:ascii="Times" w:hAnsi="Times" w:eastAsia="Batang" w:cs="Times"/>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A6C35-8A41-4DDD-BC85-7118554A84B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3314</Words>
  <Characters>18892</Characters>
  <Lines>157</Lines>
  <Paragraphs>44</Paragraphs>
  <TotalTime>10</TotalTime>
  <ScaleCrop>false</ScaleCrop>
  <LinksUpToDate>false</LinksUpToDate>
  <CharactersWithSpaces>22162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2023-05-15T07:08:00Z</dcterms:modified>
  <cp:revision>2481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44751A6B67A6488485BCBD0CED79ADFE</vt:lpwstr>
  </property>
</Properties>
</file>